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4E" w:rsidRDefault="008C624E">
      <w:pPr>
        <w:jc w:val="center"/>
        <w:rPr>
          <w:rFonts w:ascii="方正小标宋_GBK" w:eastAsia="方正小标宋_GBK" w:cs="Times New Roman"/>
          <w:color w:val="000000"/>
          <w:sz w:val="36"/>
          <w:szCs w:val="36"/>
        </w:rPr>
      </w:pPr>
      <w:r>
        <w:rPr>
          <w:rFonts w:ascii="方正小标宋_GBK" w:eastAsia="方正小标宋_GBK" w:cs="Times New Roman" w:hint="eastAsia"/>
          <w:color w:val="000000"/>
          <w:sz w:val="36"/>
          <w:szCs w:val="36"/>
        </w:rPr>
        <w:t>di prodotti apistici importati</w:t>
      </w:r>
    </w:p>
    <w:p w:rsidR="008C624E" w:rsidRDefault="008C624E">
      <w:pPr>
        <w:pStyle w:val="258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Numero di registrazione:</w:t>
      </w:r>
    </w:p>
    <w:p w:rsidR="008C624E" w:rsidRDefault="008C624E">
      <w:pPr>
        <w:pStyle w:val="258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Nome dell'azienda:</w:t>
      </w:r>
    </w:p>
    <w:p w:rsidR="008C624E" w:rsidRDefault="008C624E">
      <w:pPr>
        <w:pStyle w:val="25810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Indirizzo commerciale:</w:t>
      </w:r>
    </w:p>
    <w:p w:rsidR="008C624E" w:rsidRDefault="008C624E">
      <w:pPr>
        <w:pStyle w:val="25810"/>
        <w:adjustRightInd w:val="0"/>
        <w:snapToGrid w:val="0"/>
        <w:spacing w:line="560" w:lineRule="exact"/>
        <w:ind w:firstLine="480"/>
        <w:jc w:val="left"/>
        <w:rPr>
          <w:rFonts w:ascii="方正仿宋_GBK" w:eastAsia="方正仿宋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Data di compilazione del modulo:</w:t>
      </w:r>
    </w:p>
    <w:p w:rsidR="008C624E" w:rsidRDefault="008C624E">
      <w:pPr>
        <w:pStyle w:val="1"/>
        <w:adjustRightInd w:val="0"/>
        <w:snapToGrid w:val="0"/>
        <w:spacing w:line="560" w:lineRule="exact"/>
        <w:ind w:left="22" w:firstLine="480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Istruzioni per la compilazione del modulo:</w:t>
      </w:r>
    </w:p>
    <w:p w:rsidR="008C624E" w:rsidRDefault="008C624E">
      <w:pPr>
        <w:pStyle w:val="1"/>
        <w:adjustRightInd w:val="0"/>
        <w:snapToGrid w:val="0"/>
        <w:spacing w:line="520" w:lineRule="exact"/>
        <w:ind w:left="22" w:firstLine="480"/>
        <w:rPr>
          <w:rFonts w:ascii="方正仿宋_GBK" w:eastAsia="方正仿宋_GBK" w:cs="Times New Roman"/>
          <w:sz w:val="24"/>
          <w:szCs w:val="24"/>
        </w:rPr>
      </w:pPr>
      <w:r>
        <w:rPr>
          <w:rFonts w:ascii="方正仿宋_GBK" w:eastAsia="方正仿宋_GBK" w:cs="Times New Roman" w:hint="eastAsia"/>
          <w:sz w:val="24"/>
          <w:szCs w:val="24"/>
        </w:rPr>
        <w:t>1. Secondo il "Regolamento della Repubblica popolare cinese sulla registrazione e la gestione delle imprese di produzione d'oltremare di alimenti importati" (Amministrazione generale dell'ordine doganale n. 248), le condizioni sanitarie applicabili alle imprese di produzione e trasformazione di prodotti apistici d'oltremare per la registrazione in Cina devono essere conformi alle leggi, ai regolamenti e agli standard cinesi. Le normative pertinenti sono conformi ai requisiti del Protocollo di ispezione e quarantena per i prodotti apistici esportati in Cina.</w:t>
      </w:r>
    </w:p>
    <w:p w:rsidR="008C624E" w:rsidRDefault="008C624E">
      <w:pPr>
        <w:pStyle w:val="1"/>
        <w:adjustRightInd w:val="0"/>
        <w:snapToGrid w:val="0"/>
        <w:spacing w:line="520" w:lineRule="exact"/>
        <w:ind w:firstLine="480"/>
        <w:rPr>
          <w:rFonts w:ascii="方正仿宋_GBK" w:eastAsia="方正仿宋_GBK" w:cs="Times New Roman"/>
          <w:sz w:val="24"/>
          <w:szCs w:val="24"/>
        </w:rPr>
      </w:pPr>
      <w:r>
        <w:rPr>
          <w:rFonts w:ascii="方正仿宋_GBK" w:eastAsia="方正仿宋_GBK" w:cs="Times New Roman" w:hint="eastAsia"/>
          <w:sz w:val="24"/>
          <w:szCs w:val="24"/>
        </w:rPr>
        <w:t xml:space="preserve">2. Le autorità estere responsabili dell'importazione di prodotti apistici conducono ispezioni ufficiali delle imprese di produzione di prodotti apistici sulla base di </w:t>
      </w:r>
      <w:bookmarkStart w:id="0" w:name="_Hlk14029052"/>
      <w:r>
        <w:rPr>
          <w:rFonts w:ascii="方正仿宋_GBK" w:eastAsia="方正仿宋_GBK" w:cs="Times New Roman" w:hint="eastAsia"/>
          <w:sz w:val="24"/>
          <w:szCs w:val="24"/>
        </w:rPr>
        <w:t xml:space="preserve">questa tabella </w:t>
      </w:r>
      <w:bookmarkEnd w:id="0"/>
      <w:r>
        <w:rPr>
          <w:rFonts w:ascii="方正仿宋_GBK" w:eastAsia="方正仿宋_GBK" w:cs="Times New Roman" w:hint="eastAsia"/>
          <w:sz w:val="24"/>
          <w:szCs w:val="24"/>
        </w:rPr>
        <w:t>e determinano in modo veritiero la conformità in base alle effettive condizioni dell'ispezio</w:t>
      </w:r>
      <w:bookmarkStart w:id="1" w:name="_GoBack"/>
      <w:bookmarkEnd w:id="1"/>
      <w:r>
        <w:rPr>
          <w:rFonts w:ascii="方正仿宋_GBK" w:eastAsia="方正仿宋_GBK" w:cs="Times New Roman" w:hint="eastAsia"/>
          <w:sz w:val="24"/>
          <w:szCs w:val="24"/>
        </w:rPr>
        <w:t xml:space="preserve">ne. Invia questo modulo e i materiali di certificazione forniti dai produttori esteri di prodotti apistici in conformità con i </w:t>
      </w:r>
      <w:r>
        <w:rPr>
          <w:rFonts w:ascii="方正仿宋_GBK" w:eastAsia="方正仿宋_GBK" w:cs="Times New Roman" w:hint="eastAsia"/>
          <w:sz w:val="24"/>
          <w:szCs w:val="24"/>
        </w:rPr>
        <w:lastRenderedPageBreak/>
        <w:t>requisiti pertinenti dell'Ufficio per la sicurezza alimentare di importazione ed esportazione dell'Amministrazione generale delle dogane cinesi.</w:t>
      </w:r>
    </w:p>
    <w:p w:rsidR="008C624E" w:rsidRDefault="008C624E">
      <w:pPr>
        <w:pStyle w:val="1"/>
        <w:adjustRightInd w:val="0"/>
        <w:snapToGrid w:val="0"/>
        <w:spacing w:line="520" w:lineRule="exact"/>
        <w:ind w:firstLine="480"/>
        <w:rPr>
          <w:rFonts w:ascii="方正仿宋_GBK" w:eastAsia="方正仿宋_GBK" w:cs="Times New Roman"/>
          <w:sz w:val="24"/>
          <w:szCs w:val="24"/>
        </w:rPr>
      </w:pPr>
      <w:r>
        <w:rPr>
          <w:rFonts w:ascii="方正仿宋_GBK" w:eastAsia="方正仿宋_GBK" w:cs="Times New Roman" w:hint="eastAsia"/>
          <w:sz w:val="24"/>
          <w:szCs w:val="24"/>
        </w:rPr>
        <w:t>3. Le imprese estere di produzione di prodotti apistici effettuano un'autovalutazione e un'autoispezione prima di richiedere la registrazione secondo il presente modulo. Fornire materiali di supporto in base al contenuto nella colonna "Requisiti di compilazione e materiali di supporto" in questo modulo. I materiali di certificazione devono essere catalogati e il numero e il contenuto devono corrispondere al numero e al contenuto nella colonna "Requisiti di compilazione e materiali di certificazione". Devono essere compilati in cinese e inglese e il contenuto deve essere veritiero e completo.</w:t>
      </w:r>
    </w:p>
    <w:p w:rsidR="008C624E" w:rsidRDefault="008C624E">
      <w:pPr>
        <w:pStyle w:val="1"/>
        <w:adjustRightInd w:val="0"/>
        <w:snapToGrid w:val="0"/>
        <w:spacing w:line="520" w:lineRule="exact"/>
        <w:ind w:firstLine="480"/>
        <w:rPr>
          <w:rFonts w:ascii="Times New Roman" w:eastAsia="方正仿宋_GBK" w:cs="Times New Roman"/>
          <w:sz w:val="24"/>
          <w:szCs w:val="24"/>
        </w:rPr>
      </w:pPr>
      <w:r>
        <w:rPr>
          <w:rFonts w:ascii="方正仿宋_GBK" w:eastAsia="方正仿宋_GBK" w:cs="Times New Roman" w:hint="eastAsia"/>
          <w:sz w:val="24"/>
          <w:szCs w:val="24"/>
        </w:rPr>
        <w:t>4. Il contenuto inglese è solo di riferimento, prevarrà il contenuto cinese.</w:t>
      </w:r>
    </w:p>
    <w:p w:rsidR="008C624E" w:rsidRDefault="008C624E">
      <w:pPr>
        <w:pStyle w:val="25710"/>
        <w:adjustRightInd w:val="0"/>
        <w:snapToGrid w:val="0"/>
        <w:spacing w:line="400" w:lineRule="exact"/>
        <w:ind w:firstLineChars="0" w:firstLine="0"/>
        <w:jc w:val="left"/>
        <w:rPr>
          <w:rFonts w:ascii="Times New Roman" w:eastAsia="方正仿宋_GBK" w:hAnsi="Times New Roman" w:cs="Times New Roman"/>
          <w:color w:val="FF0000"/>
          <w:sz w:val="24"/>
          <w:szCs w:val="24"/>
        </w:rPr>
      </w:pPr>
    </w:p>
    <w:tbl>
      <w:tblPr>
        <w:tblW w:w="1375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3"/>
        <w:gridCol w:w="3525"/>
        <w:gridCol w:w="2494"/>
        <w:gridCol w:w="3116"/>
        <w:gridCol w:w="1478"/>
        <w:gridCol w:w="1252"/>
      </w:tblGrid>
      <w:tr w:rsidR="008C624E">
        <w:trPr>
          <w:trHeight w:val="764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pStyle w:val="2571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  <w:t>progetto</w:t>
            </w: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sz w:val="24"/>
                <w:szCs w:val="24"/>
              </w:rPr>
              <w:t>Principali condizioni e basi</w:t>
            </w: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leftChars="-95" w:left="-199"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  <w:t>Compilazione dei requisiti e dei materiali di supporto</w:t>
            </w: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  <w:t>Punti di revisione</w:t>
            </w: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pStyle w:val="7610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  <w:t>Determinazione della conformità</w:t>
            </w: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cs="Times New Roman"/>
                <w:color w:val="000000"/>
                <w:sz w:val="24"/>
                <w:szCs w:val="24"/>
              </w:rPr>
              <w:t>Osservazione</w:t>
            </w:r>
          </w:p>
        </w:tc>
      </w:tr>
      <w:tr w:rsidR="008C624E">
        <w:trPr>
          <w:trHeight w:val="672"/>
        </w:trPr>
        <w:tc>
          <w:tcPr>
            <w:tcW w:w="13758" w:type="dxa"/>
            <w:gridSpan w:val="6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>1. Informazioni di base dell'impresa</w:t>
            </w:r>
          </w:p>
        </w:tc>
      </w:tr>
      <w:tr w:rsidR="008C624E">
        <w:trPr>
          <w:trHeight w:val="764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jc w:val="center"/>
              <w:rPr>
                <w:rFonts w:asci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sz w:val="24"/>
                <w:szCs w:val="24"/>
              </w:rPr>
              <w:t>1.Situazione di base</w:t>
            </w: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1. Articoli 5, 6, 7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e 8 del "Regolamento della Repubblica popolare cinese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sulla registrazione e la gestione delle imprese di produzione estera di prodotti alimentari importati" (Amministrazione generale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dell'ordinanza doganale n. 248) .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 " Misure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della Repubblica popolare cinese sulla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gestione della sicurezza alimentare in importazione ed esportazione" (ordinanza dell'amministrazione generale delle dogane n. 249). .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3. “Norme nazionali di sicurezza alimentare Specifiche igieniche generali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”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).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．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 Il protocollo di ispezione e quarantena per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i prodotti delle api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esportati in Cina è stato firmato tra l'autorità competente del paese richiedente e l'Amministrazione generale delle dogane .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1. Compilare il "Modulo di domanda per la registrazione delle imprese di produzione estere di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prodotti apistici importati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".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1. Le imprese dovrebbero inserire le informazioni in modo veritiero e le informazioni di base dovrebbero essere coerenti con le informazioni presentate dalle autorità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competenti del paese esportatore e con le effettive condizioni di produzione e trasformazione.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Le risorse umane dell'impresa dovrebbero essere in grado di soddisfare i requisiti di produzione, lavorazione e controllo di qualit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à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 e sicurezza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dell'impresa .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I prodotti delle api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da esportare in Cina devono rispettare l'ambito del prodotto specificato nel protocollo.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□Conforme a</w:t>
            </w:r>
          </w:p>
          <w:p w:rsidR="008C624E" w:rsidRDefault="008C624E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24E">
        <w:trPr>
          <w:trHeight w:val="764"/>
        </w:trPr>
        <w:tc>
          <w:tcPr>
            <w:tcW w:w="13758" w:type="dxa"/>
            <w:gridSpan w:val="6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lastRenderedPageBreak/>
              <w:t>2. Ubicazione dell'impresa, disposizione dell'officina, strutture e attrezzature</w:t>
            </w:r>
          </w:p>
        </w:tc>
      </w:tr>
      <w:tr w:rsidR="008C624E">
        <w:trPr>
          <w:trHeight w:val="764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2.1 Selezione della sede aziendale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3.1 in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"Norme nazionali di sicurezza alimentare,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specifiche igieniche generali 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 .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2.1 Fornire immagini dell'ambiente in cui è ubicata la fabbrica. Le immagini devono indicare le informazioni sull'ambiente circostante (aree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urbane, suburbane, industriali, agricole e residenziali,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ecc.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).</w:t>
            </w: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Non dovrebbero esserci fonti di inquinamento intorno all'area della fabbrica.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a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24E">
        <w:trPr>
          <w:trHeight w:val="764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2.2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Ambiente 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layout della fabbrica</w:t>
            </w:r>
          </w:p>
          <w:p w:rsidR="008C624E" w:rsidRDefault="008C624E">
            <w:pPr>
              <w:snapToGrid w:val="0"/>
              <w:spacing w:line="0" w:lineRule="atLeast"/>
              <w:jc w:val="left"/>
              <w:rPr>
                <w:rFonts w:ascii="Times New Roman" w:eastAsia="方正仿宋_GBK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3.2 in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"Norme nazionali di sicurezza alimentare,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specifiche igieniche generali 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 .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2.2 Fornire una planimetria dell'area della fabbrica. La planimetria dovrebbe indicare diverse aree funzionali come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produzione e lavorazione, stoccaggio di materie prime/prodotti finiti,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magazzini di prodotti chimici e laboratori (se applicabile)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.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La disposizione dell'area dello stabilimento soddisfa le esigenze di produzione e lavorazione 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le aree funzionali sono ragionevolmente suddivise per prevenire il rischio di contaminazione del prodotto.</w:t>
            </w: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a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24E">
        <w:trPr>
          <w:trHeight w:val="764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2.3 Progettazione e disposizione dell'officina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4.1 in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"Norme nazionali di sicurezza alimentare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- Specifiche igieniche generali 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 .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2.3 Fornire una planimetria dell'officina di produzione. La planimetria dell'officina deve indicare chiaramente la gamma di aree pulite e aree non pulite; indicare le aree funzionali come spogliatoi del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personale,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produzione e lavorazione 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locali per la pulizia e disinfezione degli strumenti; direzione del flusso del personale e dei prodotti in officina .</w:t>
            </w: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La disposizione dell'officina dovrebbe essere ragionevole per soddisfare le esigenze di produzione e lavorazione ed evitare la contaminazione incrociata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.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</w:rPr>
              <w:t xml:space="preserve"> </w:t>
            </w: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a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24E">
        <w:trPr>
          <w:trHeight w:val="312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2.4 Struttura e materiali dell'edificio dell'officina</w:t>
            </w: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4.2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in "Specifiche igieniche generali degli standard nazionali di sicurezza alimentare per la produzione alimentare" (GB14881) .</w:t>
            </w: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2.4 Fornire foto del soffitto, delle pareti, dei pavimenti, delle porte e delle finestre del laboratorio per illustrarne i materiali.</w:t>
            </w: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struttura dell'edificio e i materiali dell'officina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soddisfano i requisiti igienici per la produzione e la lavorazione degli alimenti 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sono facili da pulire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per prevenire la contaminazione degli alimenti.</w:t>
            </w: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a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24E">
        <w:trPr>
          <w:trHeight w:val="937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2.5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Impianti 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attrezzature di produzione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e 6.2 in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"Norme nazionali di sicurezza alimentare -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Specifiche igieniche generali 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1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 .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2.5.1 Fornire un elenco delle principali attrezzature e strutture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per la produzione e la lavorazione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.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2.5.2 Fornire foto delle principali attivit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à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 di produzione e lavorazione, nonch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 dell'approvvigionamento idrico, del drenaggio, della pulizia e della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disinfezione, dello stoccaggio dei rifiuti, dell'igiene personale, dell'illuminazione, del controllo della temperatura (se applicabile) e di altre attrezzature 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strutture .</w:t>
            </w: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Le imprese dovrebbero essere dotate di attrezzature di produzione adeguate alla capacità produttiva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e in grado di garantire che le condizioni igieniche del processo di produzione e lavorazione soddisfino i requisiti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.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a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24E">
        <w:trPr>
          <w:trHeight w:val="937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2.6 Strutture di magazzinaggio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5.1.8 e 10 in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"Norme nazionali di sicurezza alimentare -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Specifiche igieniche generali 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 .</w:t>
            </w: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Descrivere brevemente i requisiti di gestione per lo stoccaggio delle materie prime e dei prodotti finiti e fornire immagini pertinenti dello stoccaggio che possano riflettere la situazione di stoccaggio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È necessario garantire che le materie prime, i semilavorati e i prodotti finiti dei prodotti esportati in Cina siano chiaramente contrassegnati e conservati in aree speciali. L'ambiente di stoccaggio e trasporto sia pulito e igienico. I magazzini con requisiti di temperatura dovrebbero disporre di strutture per il controllo della temperatura che soddisfano i requisiti .</w:t>
            </w: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 Conforme a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24E">
        <w:trPr>
          <w:trHeight w:val="937"/>
        </w:trPr>
        <w:tc>
          <w:tcPr>
            <w:tcW w:w="13758" w:type="dxa"/>
            <w:gridSpan w:val="6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>3. Fornitura di acqua di lavorazione</w:t>
            </w:r>
          </w:p>
        </w:tc>
      </w:tr>
      <w:tr w:rsidR="008C624E">
        <w:trPr>
          <w:trHeight w:val="90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ind w:left="120" w:hangingChars="50" w:hanging="12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3.1 Trattamento della qualità dell'acqua di lavorazione (se applicabile)</w:t>
            </w:r>
          </w:p>
          <w:p w:rsidR="008C624E" w:rsidRDefault="008C624E">
            <w:pPr>
              <w:snapToGrid w:val="0"/>
              <w:spacing w:line="0" w:lineRule="atLeast"/>
              <w:ind w:left="120" w:hangingChars="50" w:hanging="12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5.1.1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5.1.2 in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Specifiche igieniche generali degli standard nazionali di sicurezza alimentare 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 .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2. "Norme igieniche per l'acqua potabile" (GB 5749).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3.1 Se si tratta della fonte idrica dell'azienda, descrivere le misure pertinenti per il controllo della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qualità dell'acqua e fornire l'ultimo rapporto sul test della qualità dell'acqua di produzione (se applicabile).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La quantità di cloro aggiunto durante il trattamento di clorazione deve essere conforme ai requisiti degli "Standard igienici per l'acqua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potabile" (GB 5749) se il cloro non viene aggiunto, l'impresa deve garantire che la qualità dell'acqua soddisfi i requisiti degli "Standard igienici per l'acqua potabile"; Acqua potabile» (GB 5749).</w:t>
            </w:r>
          </w:p>
          <w:p w:rsidR="008C624E" w:rsidRDefault="008C624E">
            <w:pPr>
              <w:pStyle w:val="11810"/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□Conforme a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  <w:p w:rsidR="008C624E" w:rsidRDefault="008C624E">
            <w:pPr>
              <w:pStyle w:val="119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□Non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applicabile</w:t>
            </w:r>
            <w:r>
              <w:rPr>
                <w:rFonts w:ascii="Times New Roman" w:eastAsia="宋体"/>
                <w:color w:val="000000"/>
                <w:sz w:val="24"/>
              </w:rPr>
              <w:t xml:space="preserve"> </w:t>
            </w: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24E">
        <w:trPr>
          <w:trHeight w:val="937"/>
        </w:trPr>
        <w:tc>
          <w:tcPr>
            <w:tcW w:w="13758" w:type="dxa"/>
            <w:gridSpan w:val="6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4. Fonti 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delle materie prime per i prodotti delle api</w:t>
            </w:r>
          </w:p>
        </w:tc>
      </w:tr>
      <w:tr w:rsidR="008C624E">
        <w:trPr>
          <w:trHeight w:val="937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4.1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Collegamenti con l'apicoltura</w:t>
            </w: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Il protocollo di ispezione e quarantena per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i prodotti delle api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esportati in Cina è firmato tra l'autorità competente del paese richiedente e l'Amministrazione generale delle dogane .</w:t>
            </w:r>
          </w:p>
          <w:p w:rsidR="008C624E" w:rsidRDefault="008C624E">
            <w:pPr>
              <w:pStyle w:val="12710"/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snapToGrid w:val="0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4.1.1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Elenco degli apiari/smielatori che forniscono materie prime all'impresa (l'elenco dovrebbe includere le informazioni sull'ubicazione degli apiari/smielatori) e i relativi materiali di certificazione approvati dall'autorit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à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 competente del paese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.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4.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1. 2 Per le materie prime dei prodotti apistici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 xml:space="preserve">provenienti da un paese terzo , fornire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materiali di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lastRenderedPageBreak/>
              <w:t xml:space="preserve">certificazione (se applicabile) che attesti che le materie prime provengono da prodotti apistici conformi al protocollo di ispezione e quarantena per i prodotti apistici esportati in Cina </w:t>
            </w:r>
            <w:r>
              <w:rPr>
                <w:rFonts w:ascii="Times New Roman" w:eastAsia="方正仿宋_GBK" w:cs="Times New Roman"/>
                <w:kern w:val="0"/>
                <w:sz w:val="24"/>
                <w:szCs w:val="24"/>
              </w:rPr>
              <w:t>.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4.1.3 Documenti comprovanti che le materie prime dei prodotti apistici soddisfano i requisiti del protocollo bilaterale.</w:t>
            </w: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 xml:space="preserve">Gli apiari o le sale per la scuotimento del miele che forniscono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materie prime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per i prodotti delle api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esportati in Cina dovrebbero essere approvati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dalle autorit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à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competenti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del paese in cui si trovano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ed essere effettivamente controllati e rispettare i requisiti pertinenti del protocollo bilaterale.</w:t>
            </w: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a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24E">
        <w:trPr>
          <w:trHeight w:val="937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4.2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Accettazione delle materie prime</w:t>
            </w: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Il protocollo di ispezione e quarantena per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i prodotti delle api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esportati in Cina è firmato tra l'autorità competente del paese richiedente e l'Amministrazione generale delle dogane .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7.1 e 7.2 in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Specifiche igieniche generali degli standard nazionali di sicurezza alimentare 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 .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snapToGrid w:val="0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4.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2.1 Descrivere brevemente i requisiti di gestione dell'azienda per i fornitori di materie prime per i prodotti delle api (compresi apiari e sale di scuotimento del miele che forniscono materie prime, ecc.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) .</w:t>
            </w:r>
          </w:p>
          <w:p w:rsidR="008C624E" w:rsidRDefault="008C624E">
            <w:pPr>
              <w:snapToGrid w:val="0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4.2.2 Fornire un sistema di accettazione delle materie prime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lastRenderedPageBreak/>
              <w:t xml:space="preserve">(inclusi indicatori, limiti, requisiti di accettazione, ecc.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, compreso come impedire che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fonti di miele tossiche e dannose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entrino nella fabbrica).</w:t>
            </w:r>
          </w:p>
          <w:p w:rsidR="008C624E" w:rsidRDefault="008C624E">
            <w:pPr>
              <w:pStyle w:val="13510"/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4.2.3 Fornire un sistema di gestione del rischio per evitare che i prodotti delle api vengano infettati da agenti patogeni delle malattie delle api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宋体"/>
                <w:color w:val="000000"/>
                <w:sz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Le materie prime utilizzate per produrre i prodotti delle api esportati in Cina dovrebbero essere sicure, igieniche e adatte al consumo umano.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2. Adottare misure efficaci in conformit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à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 con le disposizioni del protocollo bilaterale per prevenire la diffusione delle malattie delle api attraverso i prodotti delle api esportati in Cina.</w:t>
            </w: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a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24E">
        <w:trPr>
          <w:trHeight w:val="937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4.3 Prodotti legati all'alimentazione</w:t>
            </w: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宋体"/>
                <w:color w:val="000000"/>
                <w:sz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7.4 in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"Norme nazionali di sicurezza alimentare,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specifiche igieniche generali 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 .</w:t>
            </w: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pStyle w:val="13510"/>
              <w:snapToGrid w:val="0"/>
              <w:spacing w:line="0" w:lineRule="atLeas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4.3.1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Descrivere brevemente i requisiti per l'acquisto di materiali per l'imballaggio alimentare, detergenti, disinfettanti, ecc.</w:t>
            </w:r>
          </w:p>
          <w:p w:rsidR="008C624E" w:rsidRDefault="008C624E">
            <w:pPr>
              <w:pStyle w:val="13510"/>
              <w:snapToGrid w:val="0"/>
              <w:spacing w:line="0" w:lineRule="atLeast"/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4.3.2 </w:t>
            </w: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Descrivere brevemente i requisiti di disinfezione per i materiali di imballaggio che sono a diretto contatto con i prodotti delle api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宋体"/>
                <w:color w:val="000000"/>
                <w:sz w:val="24"/>
              </w:rPr>
            </w:pPr>
            <w:r>
              <w:rPr>
                <w:rFonts w:ascii="Times New Roman" w:eastAsia="方正仿宋_GBK" w:cs="Times New Roman" w:hint="eastAsia"/>
                <w:color w:val="000000"/>
                <w:kern w:val="0"/>
                <w:sz w:val="24"/>
                <w:szCs w:val="24"/>
              </w:rPr>
              <w:t>I prodotti alimentari devono essere conformi ai requisiti di sicurezza alimentare ed evitare la contaminazione degli alimenti.</w:t>
            </w: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a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24E">
        <w:trPr>
          <w:trHeight w:val="937"/>
        </w:trPr>
        <w:tc>
          <w:tcPr>
            <w:tcW w:w="13758" w:type="dxa"/>
            <w:gridSpan w:val="6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5. </w:t>
            </w:r>
            <w:r>
              <w:rPr>
                <w:rFonts w:ascii="Times New Roman" w:eastAsia="方正楷体_GBK" w:cs="Times New Roman" w:hint="eastAsia"/>
                <w:b/>
                <w:bCs/>
                <w:color w:val="000000"/>
                <w:sz w:val="24"/>
                <w:szCs w:val="24"/>
              </w:rPr>
              <w:t>Controllo del processo</w:t>
            </w:r>
          </w:p>
        </w:tc>
      </w:tr>
      <w:tr w:rsidR="008C624E">
        <w:trPr>
          <w:trHeight w:val="937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pStyle w:val="45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5.1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Processo di trattamento</w:t>
            </w: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"Standard nazionale di sicurezza alimentare per il miele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(GB14963)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.</w:t>
            </w:r>
          </w:p>
          <w:p w:rsidR="008C624E" w:rsidRDefault="008C624E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Il protocollo di ispezione e quarantena per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i prodotti delle api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esportati in Cina è firmato tra l'autorità competente del paese richiedente e l'Amministrazione generale delle dogane .</w:t>
            </w:r>
          </w:p>
          <w:p w:rsidR="008C624E" w:rsidRDefault="008C624E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pStyle w:val="47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5.1.1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(Applicabile alle aziende produttrici di miele)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Breve descrizione della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tecnologia di lavorazione del miele (incluso se il miele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è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 riscaldato e la temperatura e pressione massime di riscaldamento, la dimensione delle maglie dello schermo filtrante, se viene utilizzato il processo di disidratazione e concentrazione, se vengono aggiunti additivi alimentari e altre materie prime, ecc.)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.</w:t>
            </w:r>
          </w:p>
          <w:p w:rsidR="008C624E" w:rsidRDefault="008C624E">
            <w:pPr>
              <w:pStyle w:val="47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5.1.2 (Applicabile alle imprese di pappa reale) Descrivere brevemente la tecnologia di produzione 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lavorazione.</w:t>
            </w:r>
          </w:p>
          <w:p w:rsidR="008C624E" w:rsidRDefault="008C624E">
            <w:pPr>
              <w:pStyle w:val="47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5.1.3 In conformit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à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 con le disposizioni del protocollo bilaterale, adottare misure efficaci per eliminare il rischio di malattie delle api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.</w:t>
            </w:r>
          </w:p>
          <w:p w:rsidR="008C624E" w:rsidRDefault="008C624E">
            <w:pPr>
              <w:pStyle w:val="47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5.1.4 Fornire immagini delle principali apparecchiature di elaborazione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pStyle w:val="149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>1. Il miele esportato in Cina dovrebbe rispettare la definizione di base di miele. I prodotti delle api dovrebbero mantenere le loro propriet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à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 naturali e non dovrebbero essere aggiunti altri additivi alimentari o materie prime alimentari.</w:t>
            </w:r>
          </w:p>
          <w:p w:rsidR="008C624E" w:rsidRDefault="008C624E">
            <w:pPr>
              <w:pStyle w:val="149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2. Garantire che i prodotti delle api esportati in Cina non trasmettano le malattie delle api correlate previste dal protocollo bilaterale.</w:t>
            </w: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pStyle w:val="49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a</w:t>
            </w:r>
          </w:p>
          <w:p w:rsidR="008C624E" w:rsidRDefault="008C624E">
            <w:pPr>
              <w:pStyle w:val="49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24E">
        <w:trPr>
          <w:trHeight w:val="937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5.2 Situazione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del controllo igienico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6.1, 6.6 e 8 in " Specifiche igieniche generali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degli standard nazionali di sicurezza alimentare per la produzione alimentare 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 .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pStyle w:val="19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5.2.1 Descrivere brevemente i requisiti di base e i sistemi di gestione per il controllo dell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igiene durante la produzione e la lavorazione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.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5.2.2 Fornire immagini delle misure di controllo igienico implementate nei laboratori di lavorazione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Durante il processo di produzione e lavorazione dovrebbero essere implementate efficaci misure di controllo igienico per garantire la sicurezza e l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igiene dei prodotti delle api esportati in Cina.</w:t>
            </w: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a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24E">
        <w:trPr>
          <w:trHeight w:val="937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宋体"/>
                <w:color w:val="000000"/>
                <w:sz w:val="24"/>
              </w:rPr>
            </w:pPr>
            <w:r>
              <w:rPr>
                <w:rFonts w:ascii="Times New Roman" w:eastAsia="宋体" w:hint="eastAsia"/>
                <w:color w:val="000000"/>
                <w:sz w:val="24"/>
              </w:rPr>
              <w:t xml:space="preserve">5.3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Autoesame e autocontrollo</w:t>
            </w: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"Specifiche igieniche generali dello standard nazionale di sicurezza alimentare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9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宋体"/>
                <w:color w:val="000000"/>
                <w:sz w:val="24"/>
              </w:rPr>
            </w:pP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snapToGrid w:val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5.3.1 Se l'impresa dispone di un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proprio laboratorio , dovrà presentare la prova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delle capacità e delle qualifiche del laboratorio dell'impresa; se l'impresa affida un laboratorio affidato a terzi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dovrà fornire materiali comprovanti le qualifiche del laboratorio affidato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.</w:t>
            </w:r>
          </w:p>
          <w:p w:rsidR="008C624E" w:rsidRDefault="008C624E">
            <w:pPr>
              <w:snapToGrid w:val="0"/>
              <w:rPr>
                <w:rFonts w:ascii="Times New Roman" w:eastAsia="宋体"/>
                <w:color w:val="000000"/>
                <w:sz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3.2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Fornire un piano di monitoraggio aziendale, compresi gli elementi di monitoraggio, la frequenza,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gli standard di giudizio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, le misure di gestione non qualificate, ecc.</w:t>
            </w: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宋体"/>
                <w:color w:val="000000"/>
                <w:sz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 xml:space="preserve">Le imprese dovrebbero stabilire piani di autoispezione e autocontrollo e gli standard di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campionamento, test e giudizio per le materie prime e i test sui prodotti dovrebbero essere conformi ai requisiti cinesi per garantire la sicurezza e l’igiene dei prodotti.</w:t>
            </w: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□Conforme a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24E">
        <w:trPr>
          <w:trHeight w:val="764"/>
        </w:trPr>
        <w:tc>
          <w:tcPr>
            <w:tcW w:w="13758" w:type="dxa"/>
            <w:gridSpan w:val="6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lastRenderedPageBreak/>
              <w:t>8. Gestione dei materiali chimici e di imballaggio</w:t>
            </w:r>
          </w:p>
        </w:tc>
      </w:tr>
      <w:tr w:rsidR="008C624E">
        <w:trPr>
          <w:trHeight w:val="764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8.1 Gestione e stoccaggio dei prodotti chimici</w:t>
            </w: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7.4 e 8.3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in "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Specifiche igieniche generali degli standard nazionali di sicurezza alimentare 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14881 )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8.1.1 Descrivere brevemente i requisiti per l'uso e lo stoccaggio dei prodotti chimici.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8.1.2 Fornire immagini dei locali di stoccaggio dei prodotti chimici.</w:t>
            </w: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1. I prodotti chimici (compresi disinfettanti e altri detergenti) devono essere conformi alle autorità competenti locali e ai requisiti cinesi.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 I prodotti chimici dovrebbero essere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immagazzinati in aree dedicate, gestite rigorosamente e chiaramente etichettate.</w:t>
            </w: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pStyle w:val="20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□Conforme a</w:t>
            </w:r>
          </w:p>
          <w:p w:rsidR="008C624E" w:rsidRDefault="008C624E">
            <w:pPr>
              <w:pStyle w:val="20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24E">
        <w:trPr>
          <w:trHeight w:val="1092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8.2 Gestione e stoccaggio dei materiali di imballaggio interni ed esterni</w:t>
            </w: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7.5 e 8.5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in "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Specifiche igieniche generali degli standard nazionali di sicurezza alimentare 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14881 )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8.2 Fornire la prova che i materiali di imballaggio interno ed esterno sono idonei per l'imballaggio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dei prodotti delle api .</w:t>
            </w: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I materiali di imballaggio non devono contenere sostanze tossiche e nocive e non devono alterare le proprietà sensoriali dei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prodotti delle api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pStyle w:val="5010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a</w:t>
            </w:r>
          </w:p>
          <w:p w:rsidR="008C624E" w:rsidRDefault="008C624E">
            <w:pPr>
              <w:pStyle w:val="5010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24E">
        <w:trPr>
          <w:trHeight w:val="639"/>
        </w:trPr>
        <w:tc>
          <w:tcPr>
            <w:tcW w:w="13758" w:type="dxa"/>
            <w:gridSpan w:val="6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>9. Smaltimento dei rifiuti e disinfestazione</w:t>
            </w:r>
          </w:p>
        </w:tc>
      </w:tr>
      <w:tr w:rsidR="008C624E">
        <w:trPr>
          <w:trHeight w:val="764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9.1 Smaltimento dei rifiuti</w:t>
            </w: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pStyle w:val="4610"/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6.5 in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"Norme nazionali di sicurezza alimentare,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specifiche igieniche generali 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 .</w:t>
            </w: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9.1.1 Fornire immagini per l'identificazione dei contenitori di prodotti commestibili e dei contenitori per lo stoccaggio dei rifiuti nell'officina.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9.1.2 Descrivere brevemente i requisiti per le procedure di trattamento dei rifiuti; se una terza parte viene utilizzata per un trattamento innocuo, fornire le corrispondenti qualifiche della società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terza.</w:t>
            </w: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1. I contenitori dei prodotti commestibili e i contenitori per lo stoccaggio dei rifiuti devono essere chiaramente contrassegnati e distinti.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 I rifiuti dovrebbero essere immagazzinati separatamente e trattati in tempo per evitare l'inquinamento della produzione.</w:t>
            </w: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a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24E">
        <w:trPr>
          <w:trHeight w:val="764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9.2 Controllo dei parassiti e dei roditori</w:t>
            </w: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6.4 in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"Norme nazionali di sicurezza alimentare,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specifiche igieniche generali 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 .</w:t>
            </w: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9.2 Fornire un piano di disposizione per il controllo degli infestanti Se una terza parte si assume la responsabilità, fornire le qualifiche della terza parte.</w:t>
            </w: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Dovrebbe essere evitato l’impatto degli insetti nocivi e dei roditori sulla sicurezza e la salute della produzione.</w:t>
            </w: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a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24E">
        <w:trPr>
          <w:trHeight w:val="764"/>
        </w:trPr>
        <w:tc>
          <w:tcPr>
            <w:tcW w:w="13758" w:type="dxa"/>
            <w:gridSpan w:val="6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t>10. Tracciabilità e richiamo del prodotto</w:t>
            </w:r>
          </w:p>
        </w:tc>
      </w:tr>
      <w:tr w:rsidR="008C624E">
        <w:trPr>
          <w:trHeight w:val="937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10. Tracciabilità e sistema di richiamo del prodotto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11 e 14 in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"Norme nazionali di sicurezza alimentare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Specifiche igieniche generali 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 .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protocollo di ispezione e quarantena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per i prodotti delle api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esportati in Cina firmato tra l'autorità competente del paese richiedente e l'Amministrazione generale delle dogane .</w:t>
            </w: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10.1 Descrivere brevemente la procedura di tracciabilità del prodotto Prendendo come esempio il numero di lotto di un lotto di prodotti finiti, spiegare come tracciare il prodotto finito fino all'apiario corrispondente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all'azienda di origine del passaggio precedente .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10.2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Fornire immagini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lastRenderedPageBreak/>
              <w:t xml:space="preserve">di identificazione del lotto di materie prime, prodotti finiti e semilavorati per la lavorazione dei prodotti delle api durante i progetti di stoccaggio e lavorazione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lastRenderedPageBreak/>
              <w:t>1. L'origine degli animali o dei prodotti dovrebbe essere identificata attraverso la composizione dei numeri di lotto, e la gestione della tracciabilità di un passo avanti e di uno indietro dovrebbe essere ottenuta attraverso la gestione dei lotti e la ricezione dei registri delle vendite.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>Dovrebbe essere garantito che i prodotti siano effettivamente etichettati in tutti gli aspetti come la lavorazione e lo stoccaggio.</w:t>
            </w: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 Conforme a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</w:tcPr>
          <w:p w:rsidR="008C624E" w:rsidRDefault="008C624E">
            <w:pPr>
              <w:pStyle w:val="20"/>
              <w:spacing w:line="0" w:lineRule="atLeast"/>
              <w:ind w:firstLineChars="0" w:firstLine="0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24E">
        <w:trPr>
          <w:trHeight w:val="764"/>
        </w:trPr>
        <w:tc>
          <w:tcPr>
            <w:tcW w:w="13758" w:type="dxa"/>
            <w:gridSpan w:val="6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lastRenderedPageBreak/>
              <w:t>11. Gestione e formazione del personale</w:t>
            </w:r>
          </w:p>
        </w:tc>
      </w:tr>
      <w:tr w:rsidR="008C624E">
        <w:trPr>
          <w:trHeight w:val="1554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11.1 Qualifiche dei dipendenti e gestione sanitaria</w:t>
            </w: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6.3 in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"Norme nazionali di sicurezza alimentare,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specifiche igieniche generali 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"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 .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tabs>
                <w:tab w:val="left" w:pos="312"/>
              </w:tabs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11.1 Fornire ai dipendenti i requisiti di gestione sanitaria pre-assunzione e di esame fisico dei dipendenti.</w:t>
            </w: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1. Prima dell'assunzione, i dipendenti devono sottoporsi ad un esame fisico e dimostrare di essere idonei a lavorare in un'impresa di trasformazione alimentare.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2. I dipendenti devono sottoporsi a regolari esami fisici e tenere registri.</w:t>
            </w: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a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24E">
        <w:trPr>
          <w:trHeight w:val="937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11.2 Formazione del personale</w:t>
            </w: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pStyle w:val="46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12 in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“Norme nazionali di sicurezza alimentare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Specifiche igieniche generali per la produzione alimentare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” (GB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14881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) .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11.2 Fornire ai dipendenti piani di formazione annuali, contenuti, valutazioni e registrazioni.</w:t>
            </w: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per i prodotti delle api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esportati in Cina , le normative cinesi e il controllo degli standard, ecc.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a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24E">
        <w:trPr>
          <w:trHeight w:val="937"/>
        </w:trPr>
        <w:tc>
          <w:tcPr>
            <w:tcW w:w="13758" w:type="dxa"/>
            <w:gridSpan w:val="6"/>
            <w:noWrap/>
            <w:vAlign w:val="center"/>
          </w:tcPr>
          <w:p w:rsidR="008C624E" w:rsidRDefault="008C624E">
            <w:pPr>
              <w:pStyle w:val="1"/>
              <w:spacing w:line="0" w:lineRule="atLeast"/>
              <w:ind w:firstLineChars="0" w:firstLine="0"/>
              <w:jc w:val="center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楷体_GBK" w:cs="Times New Roman"/>
                <w:b/>
                <w:bCs/>
                <w:color w:val="000000"/>
                <w:sz w:val="24"/>
                <w:szCs w:val="24"/>
              </w:rPr>
              <w:lastRenderedPageBreak/>
              <w:t>12. Dichiarazione</w:t>
            </w:r>
          </w:p>
        </w:tc>
      </w:tr>
      <w:tr w:rsidR="008C624E">
        <w:trPr>
          <w:trHeight w:val="937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12.1 Dichiarazione societaria</w:t>
            </w: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</w:tcPr>
          <w:p w:rsidR="008C624E" w:rsidRDefault="008C624E">
            <w:pPr>
              <w:pStyle w:val="5910"/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12.1 Compilare il "Modulo di domanda di registrazione delle imprese estere di produzione di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prodotti apistici importati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".</w:t>
            </w: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Dovrebbe avere la firma della persona giuridica e il sigillo della società.</w:t>
            </w: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a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C624E">
        <w:trPr>
          <w:trHeight w:val="937"/>
        </w:trPr>
        <w:tc>
          <w:tcPr>
            <w:tcW w:w="1893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12.2 Conferma da parte dell'Autorità Veterinaria</w:t>
            </w:r>
          </w:p>
        </w:tc>
        <w:tc>
          <w:tcPr>
            <w:tcW w:w="3525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noWrap/>
            <w:vAlign w:val="center"/>
          </w:tcPr>
          <w:p w:rsidR="008C624E" w:rsidRDefault="008C624E">
            <w:pPr>
              <w:pStyle w:val="6010"/>
              <w:snapToGrid w:val="0"/>
              <w:spacing w:line="0" w:lineRule="atLeast"/>
              <w:ind w:left="-11" w:firstLine="11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 xml:space="preserve">12.2 Compilare il "Modulo di domanda di registrazione delle imprese estere di produzione di </w:t>
            </w:r>
            <w:r>
              <w:rPr>
                <w:rFonts w:ascii="Times New Roman" w:eastAsia="方正仿宋_GBK" w:cs="Times New Roman" w:hint="eastAsia"/>
                <w:bCs/>
                <w:color w:val="000000"/>
                <w:sz w:val="24"/>
                <w:szCs w:val="24"/>
              </w:rPr>
              <w:t xml:space="preserve">prodotti apistici importati </w:t>
            </w: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".</w:t>
            </w:r>
          </w:p>
        </w:tc>
        <w:tc>
          <w:tcPr>
            <w:tcW w:w="3116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Dovrebbe essere firmato dal veterinario competente e timbrato dall'autorità competente.</w:t>
            </w:r>
          </w:p>
        </w:tc>
        <w:tc>
          <w:tcPr>
            <w:tcW w:w="1478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□Conforme a</w:t>
            </w:r>
          </w:p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  <w:t>□Non soddisfa</w:t>
            </w:r>
          </w:p>
        </w:tc>
        <w:tc>
          <w:tcPr>
            <w:tcW w:w="1252" w:type="dxa"/>
            <w:noWrap/>
            <w:vAlign w:val="center"/>
          </w:tcPr>
          <w:p w:rsidR="008C624E" w:rsidRDefault="008C624E">
            <w:pPr>
              <w:snapToGrid w:val="0"/>
              <w:spacing w:line="0" w:lineRule="atLeast"/>
              <w:rPr>
                <w:rFonts w:ascii="Times New Roman" w:eastAsia="方正仿宋_GBK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C624E" w:rsidRDefault="008C624E">
      <w:pPr>
        <w:pStyle w:val="1"/>
        <w:ind w:left="360" w:firstLineChars="0" w:firstLine="0"/>
        <w:rPr>
          <w:rFonts w:ascii="Times New Roman" w:eastAsia="方正仿宋_GBK" w:cs="Times New Roman"/>
          <w:bCs/>
          <w:color w:val="000000"/>
          <w:szCs w:val="21"/>
        </w:rPr>
      </w:pPr>
    </w:p>
    <w:sectPr w:rsidR="008C624E">
      <w:footerReference w:type="even" r:id="rId8"/>
      <w:footerReference w:type="default" r:id="rId9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D1" w:rsidRDefault="00D014D1">
      <w:r>
        <w:separator/>
      </w:r>
    </w:p>
  </w:endnote>
  <w:endnote w:type="continuationSeparator" w:id="0">
    <w:p w:rsidR="00D014D1" w:rsidRDefault="00D0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1" w:usb1="080E0000" w:usb2="00000000" w:usb3="00000000" w:csb0="00040000" w:csb1="00000000"/>
  </w:font>
  <w:font w:name="方正黑体_GBK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方正楷体_GBK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4E" w:rsidRDefault="008C624E">
    <w:pPr>
      <w:pStyle w:val="a5"/>
      <w:framePr w:wrap="around" w:vAnchor="text" w:hAnchor="margin" w:xAlign="center" w:y="1"/>
    </w:pPr>
    <w:r>
      <w:rPr>
        <w:rStyle w:val="a8"/>
      </w:rPr>
      <w:fldChar w:fldCharType="begin"/>
    </w:r>
    <w:r>
      <w:rPr>
        <w:rStyle w:val="a8"/>
      </w:rPr>
      <w:instrText>Page</w:instrText>
    </w:r>
    <w:r>
      <w:fldChar w:fldCharType="separate"/>
    </w:r>
    <w:r>
      <w:rPr>
        <w:rStyle w:val="a8"/>
      </w:rPr>
      <w:t>1</w:t>
    </w:r>
    <w:r>
      <w:fldChar w:fldCharType="end"/>
    </w:r>
  </w:p>
  <w:p w:rsidR="008C624E" w:rsidRDefault="008C624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24E" w:rsidRDefault="008C624E">
    <w:pPr>
      <w:pStyle w:val="a5"/>
      <w:framePr w:wrap="around" w:vAnchor="text" w:hAnchor="margin" w:xAlign="center" w:y="1"/>
    </w:pPr>
    <w:r>
      <w:rPr>
        <w:rStyle w:val="a8"/>
      </w:rPr>
      <w:fldChar w:fldCharType="begin"/>
    </w:r>
    <w:r>
      <w:rPr>
        <w:rStyle w:val="a8"/>
      </w:rPr>
      <w:instrText>Page</w:instrText>
    </w:r>
    <w:r>
      <w:fldChar w:fldCharType="separate"/>
    </w:r>
    <w:r w:rsidR="004244ED">
      <w:rPr>
        <w:rStyle w:val="a8"/>
        <w:noProof/>
      </w:rPr>
      <w:t>1</w:t>
    </w:r>
    <w:r>
      <w:fldChar w:fldCharType="end"/>
    </w:r>
  </w:p>
  <w:p w:rsidR="008C624E" w:rsidRPr="004244ED" w:rsidRDefault="004244ED">
    <w:pPr>
      <w:pStyle w:val="a5"/>
      <w:rPr>
        <w:color w:val="808080" w:themeColor="background1" w:themeShade="80"/>
      </w:rPr>
    </w:pPr>
    <w:r w:rsidRPr="004244ED">
      <w:rPr>
        <w:color w:val="808080" w:themeColor="background1" w:themeShade="80"/>
      </w:rPr>
      <w:t>registry@foodgacc.com  +86-18911244880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D1" w:rsidRDefault="00D014D1">
      <w:r>
        <w:separator/>
      </w:r>
    </w:p>
  </w:footnote>
  <w:footnote w:type="continuationSeparator" w:id="0">
    <w:p w:rsidR="00D014D1" w:rsidRDefault="00D01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ACFA8BF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11345A5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1C92591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62C6D43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92AE934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A63002B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9146943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194243C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9D881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19AAF97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E0"/>
    <w:rsid w:val="000213E0"/>
    <w:rsid w:val="001F4BE0"/>
    <w:rsid w:val="004244ED"/>
    <w:rsid w:val="00586D01"/>
    <w:rsid w:val="008C624E"/>
    <w:rsid w:val="00D014D1"/>
    <w:rsid w:val="00D02250"/>
    <w:rsid w:val="00F37861"/>
    <w:rsid w:val="00FC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小标宋_GBK" w:hAnsi="Times New Roman" w:cs="Times New Roman"/>
        <w:lang w:val="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eastAsia="宋体" w:cs="Times New Roman"/>
      <w:kern w:val="0"/>
      <w:sz w:val="20"/>
      <w:szCs w:val="21"/>
    </w:rPr>
  </w:style>
  <w:style w:type="paragraph" w:styleId="2">
    <w:name w:val="Body Text Indent 2"/>
    <w:basedOn w:val="a"/>
    <w:pPr>
      <w:spacing w:after="120" w:line="480" w:lineRule="auto"/>
      <w:ind w:leftChars="200" w:left="200"/>
    </w:pPr>
    <w:rPr>
      <w:rFonts w:ascii="Times New Roman" w:eastAsia="宋体" w:cs="Times New Roman"/>
      <w:szCs w:val="24"/>
    </w:r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cs="Lucida Sans"/>
      <w:sz w:val="18"/>
      <w:szCs w:val="20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a8">
    <w:name w:val="page number"/>
    <w:basedOn w:val="a0"/>
  </w:style>
  <w:style w:type="paragraph" w:customStyle="1" w:styleId="11110">
    <w:name w:val="样式 111 10 磅"/>
    <w:pPr>
      <w:widowControl w:val="0"/>
      <w:jc w:val="both"/>
    </w:pPr>
    <w:rPr>
      <w:rFonts w:ascii="等线" w:eastAsia="等线" w:cs="黑体"/>
      <w:kern w:val="2"/>
      <w:sz w:val="21"/>
      <w:szCs w:val="22"/>
    </w:rPr>
  </w:style>
  <w:style w:type="paragraph" w:customStyle="1" w:styleId="510">
    <w:name w:val="样式 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">
    <w:name w:val="列出段落2"/>
    <w:basedOn w:val="a"/>
    <w:pPr>
      <w:ind w:firstLineChars="200" w:firstLine="200"/>
    </w:pPr>
  </w:style>
  <w:style w:type="paragraph" w:customStyle="1" w:styleId="10610">
    <w:name w:val="样式 106 10 磅"/>
    <w:pPr>
      <w:widowControl w:val="0"/>
      <w:jc w:val="both"/>
    </w:pPr>
    <w:rPr>
      <w:rFonts w:ascii="等线" w:eastAsia="等线" w:cs="黑体"/>
      <w:kern w:val="2"/>
      <w:sz w:val="21"/>
      <w:szCs w:val="22"/>
    </w:rPr>
  </w:style>
  <w:style w:type="paragraph" w:customStyle="1" w:styleId="1">
    <w:name w:val="列出段落1"/>
    <w:basedOn w:val="a"/>
    <w:pPr>
      <w:ind w:firstLineChars="200" w:firstLine="200"/>
    </w:pPr>
  </w:style>
  <w:style w:type="paragraph" w:customStyle="1" w:styleId="710">
    <w:name w:val="样式 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10">
    <w:name w:val="样式 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0">
    <w:name w:val="样式 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">
    <w:name w:val="样式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10">
    <w:name w:val="样式 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">
    <w:name w:val="列出段落3"/>
    <w:basedOn w:val="a"/>
    <w:pPr>
      <w:ind w:firstLineChars="200" w:firstLine="200"/>
    </w:pPr>
  </w:style>
  <w:style w:type="paragraph" w:customStyle="1" w:styleId="11">
    <w:name w:val="列出段落11"/>
    <w:basedOn w:val="a"/>
    <w:pPr>
      <w:ind w:firstLineChars="200" w:firstLine="200"/>
    </w:pPr>
    <w:rPr>
      <w:rFonts w:ascii="Calibri" w:eastAsia="宋体" w:hAnsi="Calibri" w:cs="黑体"/>
    </w:rPr>
  </w:style>
  <w:style w:type="paragraph" w:customStyle="1" w:styleId="810">
    <w:name w:val="样式 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">
    <w:name w:val="样式 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">
    <w:name w:val="样式 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10">
    <w:name w:val="样式 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10">
    <w:name w:val="样式 1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10">
    <w:name w:val="样式 1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10">
    <w:name w:val="样式 1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10">
    <w:name w:val="样式 1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10">
    <w:name w:val="样式 1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10">
    <w:name w:val="样式 1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10">
    <w:name w:val="样式 1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10">
    <w:name w:val="样式 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10">
    <w:name w:val="样式 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10">
    <w:name w:val="样式 1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10">
    <w:name w:val="样式 2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10">
    <w:name w:val="样式 2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10">
    <w:name w:val="样式 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10">
    <w:name w:val="样式 2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10">
    <w:name w:val="样式 2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10">
    <w:name w:val="样式 2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10">
    <w:name w:val="样式 2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10">
    <w:name w:val="样式 2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10">
    <w:name w:val="样式 2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10">
    <w:name w:val="样式 2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010">
    <w:name w:val="样式 3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10">
    <w:name w:val="样式 3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210">
    <w:name w:val="样式 3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310">
    <w:name w:val="样式 3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410">
    <w:name w:val="样式 3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510">
    <w:name w:val="样式 3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a9">
    <w:name w:val="样式 三号"/>
    <w:pPr>
      <w:widowControl w:val="0"/>
      <w:ind w:firstLineChars="200" w:firstLine="200"/>
      <w:jc w:val="both"/>
    </w:pPr>
    <w:rPr>
      <w:rFonts w:eastAsia="方正仿宋简体"/>
      <w:kern w:val="2"/>
      <w:sz w:val="32"/>
      <w:szCs w:val="24"/>
    </w:rPr>
  </w:style>
  <w:style w:type="paragraph" w:customStyle="1" w:styleId="3610">
    <w:name w:val="样式 3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710">
    <w:name w:val="样式 3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810">
    <w:name w:val="样式 3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910">
    <w:name w:val="样式 3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010">
    <w:name w:val="样式 4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110">
    <w:name w:val="样式 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210">
    <w:name w:val="样式 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310">
    <w:name w:val="样式 4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410">
    <w:name w:val="样式 4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510">
    <w:name w:val="样式 4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610">
    <w:name w:val="样式 4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710">
    <w:name w:val="样式 4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810">
    <w:name w:val="样式 4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910">
    <w:name w:val="样式 4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010">
    <w:name w:val="样式 5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110">
    <w:name w:val="样式 5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210">
    <w:name w:val="样式 5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310">
    <w:name w:val="样式 5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410">
    <w:name w:val="样式 5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510">
    <w:name w:val="样式 5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610">
    <w:name w:val="样式 5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710">
    <w:name w:val="样式 5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810">
    <w:name w:val="样式 5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910">
    <w:name w:val="样式 5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010">
    <w:name w:val="样式 6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110">
    <w:name w:val="样式 6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6210">
    <w:name w:val="样式 6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310">
    <w:name w:val="样式 6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410">
    <w:name w:val="样式 6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510">
    <w:name w:val="样式 6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610">
    <w:name w:val="样式 6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710">
    <w:name w:val="样式 6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810">
    <w:name w:val="样式 6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910">
    <w:name w:val="样式 69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7010">
    <w:name w:val="样式 70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7110">
    <w:name w:val="样式 7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7210">
    <w:name w:val="样式 7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310">
    <w:name w:val="样式 7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410">
    <w:name w:val="样式 7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510">
    <w:name w:val="样式 7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610">
    <w:name w:val="样式 7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710">
    <w:name w:val="样式 7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810">
    <w:name w:val="样式 7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910">
    <w:name w:val="样式 7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010">
    <w:name w:val="样式 8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110">
    <w:name w:val="样式 8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210">
    <w:name w:val="样式 8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310">
    <w:name w:val="样式 8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410">
    <w:name w:val="样式 8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510">
    <w:name w:val="样式 8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610">
    <w:name w:val="样式 8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710">
    <w:name w:val="样式 8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810">
    <w:name w:val="样式 8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910">
    <w:name w:val="样式 8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010">
    <w:name w:val="样式 9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110">
    <w:name w:val="样式 9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210">
    <w:name w:val="样式 9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310">
    <w:name w:val="样式 9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410">
    <w:name w:val="样式 9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510">
    <w:name w:val="样式 9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610">
    <w:name w:val="样式 9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710">
    <w:name w:val="样式 9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810">
    <w:name w:val="样式 9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910">
    <w:name w:val="样式 9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010">
    <w:name w:val="样式 10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110">
    <w:name w:val="样式 10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210">
    <w:name w:val="样式 10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310">
    <w:name w:val="样式 10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410">
    <w:name w:val="样式 10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510">
    <w:name w:val="样式 10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710">
    <w:name w:val="样式 10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810">
    <w:name w:val="样式 10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910">
    <w:name w:val="样式 10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10">
    <w:name w:val="样式 11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210">
    <w:name w:val="样式 11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310">
    <w:name w:val="样式 11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410">
    <w:name w:val="样式 11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510">
    <w:name w:val="样式 11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610">
    <w:name w:val="样式 11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710">
    <w:name w:val="样式 1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810">
    <w:name w:val="样式 1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910">
    <w:name w:val="样式 11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010">
    <w:name w:val="样式 12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110">
    <w:name w:val="样式 12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210">
    <w:name w:val="样式 1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310">
    <w:name w:val="样式 12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410">
    <w:name w:val="样式 12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510">
    <w:name w:val="样式 12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610">
    <w:name w:val="样式 12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710">
    <w:name w:val="样式 12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810">
    <w:name w:val="样式 12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910">
    <w:name w:val="样式 12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010">
    <w:name w:val="样式 13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110">
    <w:name w:val="样式 13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210">
    <w:name w:val="样式 13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310">
    <w:name w:val="样式 13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410">
    <w:name w:val="样式 13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510">
    <w:name w:val="样式 13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610">
    <w:name w:val="样式 13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710">
    <w:name w:val="样式 13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810">
    <w:name w:val="样式 13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910">
    <w:name w:val="样式 13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010">
    <w:name w:val="样式 14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110">
    <w:name w:val="样式 1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210">
    <w:name w:val="样式 1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310">
    <w:name w:val="样式 14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410">
    <w:name w:val="样式 14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510">
    <w:name w:val="样式 14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610">
    <w:name w:val="样式 14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710">
    <w:name w:val="样式 14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810">
    <w:name w:val="样式 14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910">
    <w:name w:val="样式 14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010">
    <w:name w:val="样式 15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110">
    <w:name w:val="样式 15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210">
    <w:name w:val="样式 15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310">
    <w:name w:val="样式 15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410">
    <w:name w:val="样式 15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510">
    <w:name w:val="样式 15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610">
    <w:name w:val="样式 15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710">
    <w:name w:val="样式 15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810">
    <w:name w:val="样式 15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910">
    <w:name w:val="样式 15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010">
    <w:name w:val="样式 16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110">
    <w:name w:val="样式 16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210">
    <w:name w:val="样式 16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310">
    <w:name w:val="样式 16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410">
    <w:name w:val="样式 16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510">
    <w:name w:val="样式 16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610">
    <w:name w:val="样式 16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710">
    <w:name w:val="样式 16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810">
    <w:name w:val="样式 16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910">
    <w:name w:val="样式 16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010">
    <w:name w:val="样式 17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110">
    <w:name w:val="样式 17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210">
    <w:name w:val="样式 17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310">
    <w:name w:val="样式 17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410">
    <w:name w:val="样式 17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510">
    <w:name w:val="样式 17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610">
    <w:name w:val="样式 17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710">
    <w:name w:val="样式 17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810">
    <w:name w:val="样式 17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910">
    <w:name w:val="样式 17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010">
    <w:name w:val="样式 18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110">
    <w:name w:val="样式 18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210">
    <w:name w:val="样式 18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310">
    <w:name w:val="样式 18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410">
    <w:name w:val="样式 18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510">
    <w:name w:val="样式 18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610">
    <w:name w:val="样式 18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710">
    <w:name w:val="样式 18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810">
    <w:name w:val="样式 18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910">
    <w:name w:val="样式 18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010">
    <w:name w:val="样式 19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110">
    <w:name w:val="样式 19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210">
    <w:name w:val="样式 19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310">
    <w:name w:val="样式 19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410">
    <w:name w:val="样式 19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510">
    <w:name w:val="样式 19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610">
    <w:name w:val="样式 19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710">
    <w:name w:val="样式 19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810">
    <w:name w:val="样式 19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910">
    <w:name w:val="样式 19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010">
    <w:name w:val="样式 20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110">
    <w:name w:val="样式 20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210">
    <w:name w:val="样式 20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310">
    <w:name w:val="样式 20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410">
    <w:name w:val="样式 20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510">
    <w:name w:val="样式 20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610">
    <w:name w:val="样式 20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710">
    <w:name w:val="样式 20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810">
    <w:name w:val="样式 20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910">
    <w:name w:val="样式 20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10">
    <w:name w:val="样式 21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110">
    <w:name w:val="样式 21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210">
    <w:name w:val="样式 21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310">
    <w:name w:val="样式 21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410">
    <w:name w:val="样式 21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510">
    <w:name w:val="样式 21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610">
    <w:name w:val="样式 21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710">
    <w:name w:val="样式 2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810">
    <w:name w:val="样式 2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910">
    <w:name w:val="样式 21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010">
    <w:name w:val="样式 22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110">
    <w:name w:val="样式 22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210">
    <w:name w:val="样式 2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310">
    <w:name w:val="样式 22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410">
    <w:name w:val="样式 22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510">
    <w:name w:val="样式 22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610">
    <w:name w:val="样式 22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710">
    <w:name w:val="样式 22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810">
    <w:name w:val="样式 22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910">
    <w:name w:val="样式 22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010">
    <w:name w:val="样式 23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110">
    <w:name w:val="样式 23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210">
    <w:name w:val="样式 23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310">
    <w:name w:val="样式 23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410">
    <w:name w:val="样式 23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510">
    <w:name w:val="样式 23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610">
    <w:name w:val="样式 23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710">
    <w:name w:val="样式 23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810">
    <w:name w:val="样式 23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910">
    <w:name w:val="样式 23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010">
    <w:name w:val="样式 24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110">
    <w:name w:val="样式 2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210">
    <w:name w:val="样式 2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310">
    <w:name w:val="样式 24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410">
    <w:name w:val="样式 24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510">
    <w:name w:val="样式 24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610">
    <w:name w:val="样式 24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710">
    <w:name w:val="样式 24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810">
    <w:name w:val="样式 24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910">
    <w:name w:val="样式 24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010">
    <w:name w:val="样式 25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110">
    <w:name w:val="样式 25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210">
    <w:name w:val="样式 25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310">
    <w:name w:val="样式 25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410">
    <w:name w:val="样式 25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510">
    <w:name w:val="样式 25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610">
    <w:name w:val="样式 25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710">
    <w:name w:val="样式 257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aa">
    <w:name w:val="公式样式 数字"/>
    <w:autoRedefine/>
    <w:rPr>
      <w:rFonts w:eastAsia="宋体"/>
    </w:rPr>
  </w:style>
  <w:style w:type="paragraph" w:customStyle="1" w:styleId="25810">
    <w:name w:val="样式 25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910">
    <w:name w:val="样式 25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010">
    <w:name w:val="样式 26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小标宋_GBK" w:hAnsi="Times New Roman" w:cs="Times New Roman"/>
        <w:lang w:val="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eastAsia="宋体" w:cs="Times New Roman"/>
      <w:kern w:val="0"/>
      <w:sz w:val="20"/>
      <w:szCs w:val="21"/>
    </w:rPr>
  </w:style>
  <w:style w:type="paragraph" w:styleId="2">
    <w:name w:val="Body Text Indent 2"/>
    <w:basedOn w:val="a"/>
    <w:pPr>
      <w:spacing w:after="120" w:line="480" w:lineRule="auto"/>
      <w:ind w:leftChars="200" w:left="200"/>
    </w:pPr>
    <w:rPr>
      <w:rFonts w:ascii="Times New Roman" w:eastAsia="宋体" w:cs="Times New Roman"/>
      <w:szCs w:val="24"/>
    </w:r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cs="Lucida Sans"/>
      <w:sz w:val="18"/>
      <w:szCs w:val="20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a8">
    <w:name w:val="page number"/>
    <w:basedOn w:val="a0"/>
  </w:style>
  <w:style w:type="paragraph" w:customStyle="1" w:styleId="11110">
    <w:name w:val="样式 111 10 磅"/>
    <w:pPr>
      <w:widowControl w:val="0"/>
      <w:jc w:val="both"/>
    </w:pPr>
    <w:rPr>
      <w:rFonts w:ascii="等线" w:eastAsia="等线" w:cs="黑体"/>
      <w:kern w:val="2"/>
      <w:sz w:val="21"/>
      <w:szCs w:val="22"/>
    </w:rPr>
  </w:style>
  <w:style w:type="paragraph" w:customStyle="1" w:styleId="510">
    <w:name w:val="样式 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">
    <w:name w:val="列出段落2"/>
    <w:basedOn w:val="a"/>
    <w:pPr>
      <w:ind w:firstLineChars="200" w:firstLine="200"/>
    </w:pPr>
  </w:style>
  <w:style w:type="paragraph" w:customStyle="1" w:styleId="10610">
    <w:name w:val="样式 106 10 磅"/>
    <w:pPr>
      <w:widowControl w:val="0"/>
      <w:jc w:val="both"/>
    </w:pPr>
    <w:rPr>
      <w:rFonts w:ascii="等线" w:eastAsia="等线" w:cs="黑体"/>
      <w:kern w:val="2"/>
      <w:sz w:val="21"/>
      <w:szCs w:val="22"/>
    </w:rPr>
  </w:style>
  <w:style w:type="paragraph" w:customStyle="1" w:styleId="1">
    <w:name w:val="列出段落1"/>
    <w:basedOn w:val="a"/>
    <w:pPr>
      <w:ind w:firstLineChars="200" w:firstLine="200"/>
    </w:pPr>
  </w:style>
  <w:style w:type="paragraph" w:customStyle="1" w:styleId="710">
    <w:name w:val="样式 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10">
    <w:name w:val="样式 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0">
    <w:name w:val="样式 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">
    <w:name w:val="样式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10">
    <w:name w:val="样式 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">
    <w:name w:val="列出段落3"/>
    <w:basedOn w:val="a"/>
    <w:pPr>
      <w:ind w:firstLineChars="200" w:firstLine="200"/>
    </w:pPr>
  </w:style>
  <w:style w:type="paragraph" w:customStyle="1" w:styleId="11">
    <w:name w:val="列出段落11"/>
    <w:basedOn w:val="a"/>
    <w:pPr>
      <w:ind w:firstLineChars="200" w:firstLine="200"/>
    </w:pPr>
    <w:rPr>
      <w:rFonts w:ascii="Calibri" w:eastAsia="宋体" w:hAnsi="Calibri" w:cs="黑体"/>
    </w:rPr>
  </w:style>
  <w:style w:type="paragraph" w:customStyle="1" w:styleId="810">
    <w:name w:val="样式 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">
    <w:name w:val="样式 1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">
    <w:name w:val="样式 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10">
    <w:name w:val="样式 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10">
    <w:name w:val="样式 1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10">
    <w:name w:val="样式 1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10">
    <w:name w:val="样式 1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10">
    <w:name w:val="样式 1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10">
    <w:name w:val="样式 1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10">
    <w:name w:val="样式 1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10">
    <w:name w:val="样式 1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10">
    <w:name w:val="样式 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10">
    <w:name w:val="样式 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10">
    <w:name w:val="样式 1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10">
    <w:name w:val="样式 2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10">
    <w:name w:val="样式 2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10">
    <w:name w:val="样式 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10">
    <w:name w:val="样式 2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10">
    <w:name w:val="样式 2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10">
    <w:name w:val="样式 2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10">
    <w:name w:val="样式 2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710">
    <w:name w:val="样式 2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810">
    <w:name w:val="样式 2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910">
    <w:name w:val="样式 2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010">
    <w:name w:val="样式 3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110">
    <w:name w:val="样式 3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210">
    <w:name w:val="样式 3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310">
    <w:name w:val="样式 3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410">
    <w:name w:val="样式 3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510">
    <w:name w:val="样式 3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a9">
    <w:name w:val="样式 三号"/>
    <w:pPr>
      <w:widowControl w:val="0"/>
      <w:ind w:firstLineChars="200" w:firstLine="200"/>
      <w:jc w:val="both"/>
    </w:pPr>
    <w:rPr>
      <w:rFonts w:eastAsia="方正仿宋简体"/>
      <w:kern w:val="2"/>
      <w:sz w:val="32"/>
      <w:szCs w:val="24"/>
    </w:rPr>
  </w:style>
  <w:style w:type="paragraph" w:customStyle="1" w:styleId="3610">
    <w:name w:val="样式 3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710">
    <w:name w:val="样式 3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810">
    <w:name w:val="样式 3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3910">
    <w:name w:val="样式 3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010">
    <w:name w:val="样式 4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110">
    <w:name w:val="样式 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210">
    <w:name w:val="样式 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310">
    <w:name w:val="样式 4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410">
    <w:name w:val="样式 4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510">
    <w:name w:val="样式 4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610">
    <w:name w:val="样式 4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710">
    <w:name w:val="样式 4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810">
    <w:name w:val="样式 4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4910">
    <w:name w:val="样式 4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010">
    <w:name w:val="样式 5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110">
    <w:name w:val="样式 5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210">
    <w:name w:val="样式 5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310">
    <w:name w:val="样式 5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410">
    <w:name w:val="样式 5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510">
    <w:name w:val="样式 5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610">
    <w:name w:val="样式 5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710">
    <w:name w:val="样式 5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810">
    <w:name w:val="样式 5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5910">
    <w:name w:val="样式 5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010">
    <w:name w:val="样式 6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110">
    <w:name w:val="样式 6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6210">
    <w:name w:val="样式 6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310">
    <w:name w:val="样式 6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410">
    <w:name w:val="样式 6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510">
    <w:name w:val="样式 6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610">
    <w:name w:val="样式 6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710">
    <w:name w:val="样式 6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810">
    <w:name w:val="样式 6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6910">
    <w:name w:val="样式 69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7010">
    <w:name w:val="样式 70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7110">
    <w:name w:val="样式 71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7210">
    <w:name w:val="样式 7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310">
    <w:name w:val="样式 7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410">
    <w:name w:val="样式 7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510">
    <w:name w:val="样式 7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610">
    <w:name w:val="样式 7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710">
    <w:name w:val="样式 77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810">
    <w:name w:val="样式 7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7910">
    <w:name w:val="样式 7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010">
    <w:name w:val="样式 8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110">
    <w:name w:val="样式 8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210">
    <w:name w:val="样式 8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310">
    <w:name w:val="样式 8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410">
    <w:name w:val="样式 8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510">
    <w:name w:val="样式 8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610">
    <w:name w:val="样式 8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710">
    <w:name w:val="样式 8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810">
    <w:name w:val="样式 8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8910">
    <w:name w:val="样式 89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010">
    <w:name w:val="样式 9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110">
    <w:name w:val="样式 9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210">
    <w:name w:val="样式 9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310">
    <w:name w:val="样式 9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410">
    <w:name w:val="样式 9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510">
    <w:name w:val="样式 9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610">
    <w:name w:val="样式 9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710">
    <w:name w:val="样式 9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810">
    <w:name w:val="样式 9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9910">
    <w:name w:val="样式 9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010">
    <w:name w:val="样式 10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110">
    <w:name w:val="样式 10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210">
    <w:name w:val="样式 10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310">
    <w:name w:val="样式 10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410">
    <w:name w:val="样式 10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510">
    <w:name w:val="样式 10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710">
    <w:name w:val="样式 10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810">
    <w:name w:val="样式 10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0910">
    <w:name w:val="样式 10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10">
    <w:name w:val="样式 11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210">
    <w:name w:val="样式 11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310">
    <w:name w:val="样式 11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410">
    <w:name w:val="样式 11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510">
    <w:name w:val="样式 11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610">
    <w:name w:val="样式 11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710">
    <w:name w:val="样式 1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810">
    <w:name w:val="样式 1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910">
    <w:name w:val="样式 11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010">
    <w:name w:val="样式 12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110">
    <w:name w:val="样式 12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210">
    <w:name w:val="样式 1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310">
    <w:name w:val="样式 12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410">
    <w:name w:val="样式 12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510">
    <w:name w:val="样式 12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610">
    <w:name w:val="样式 12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710">
    <w:name w:val="样式 12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810">
    <w:name w:val="样式 12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2910">
    <w:name w:val="样式 12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010">
    <w:name w:val="样式 13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110">
    <w:name w:val="样式 13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210">
    <w:name w:val="样式 13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310">
    <w:name w:val="样式 13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410">
    <w:name w:val="样式 13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510">
    <w:name w:val="样式 13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610">
    <w:name w:val="样式 13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710">
    <w:name w:val="样式 13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810">
    <w:name w:val="样式 13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3910">
    <w:name w:val="样式 13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010">
    <w:name w:val="样式 14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110">
    <w:name w:val="样式 1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210">
    <w:name w:val="样式 1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310">
    <w:name w:val="样式 14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410">
    <w:name w:val="样式 14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510">
    <w:name w:val="样式 14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610">
    <w:name w:val="样式 14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710">
    <w:name w:val="样式 14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810">
    <w:name w:val="样式 14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4910">
    <w:name w:val="样式 14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010">
    <w:name w:val="样式 15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110">
    <w:name w:val="样式 15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210">
    <w:name w:val="样式 15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310">
    <w:name w:val="样式 15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410">
    <w:name w:val="样式 15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510">
    <w:name w:val="样式 15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610">
    <w:name w:val="样式 15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710">
    <w:name w:val="样式 15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810">
    <w:name w:val="样式 15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5910">
    <w:name w:val="样式 15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010">
    <w:name w:val="样式 16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110">
    <w:name w:val="样式 16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210">
    <w:name w:val="样式 16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310">
    <w:name w:val="样式 16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410">
    <w:name w:val="样式 16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510">
    <w:name w:val="样式 16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610">
    <w:name w:val="样式 16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710">
    <w:name w:val="样式 16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810">
    <w:name w:val="样式 16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6910">
    <w:name w:val="样式 16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010">
    <w:name w:val="样式 17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110">
    <w:name w:val="样式 17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210">
    <w:name w:val="样式 17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310">
    <w:name w:val="样式 17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410">
    <w:name w:val="样式 17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510">
    <w:name w:val="样式 17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610">
    <w:name w:val="样式 17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710">
    <w:name w:val="样式 17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810">
    <w:name w:val="样式 17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7910">
    <w:name w:val="样式 17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010">
    <w:name w:val="样式 18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110">
    <w:name w:val="样式 18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210">
    <w:name w:val="样式 18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310">
    <w:name w:val="样式 18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410">
    <w:name w:val="样式 18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510">
    <w:name w:val="样式 18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610">
    <w:name w:val="样式 18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710">
    <w:name w:val="样式 18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810">
    <w:name w:val="样式 18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8910">
    <w:name w:val="样式 18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010">
    <w:name w:val="样式 190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110">
    <w:name w:val="样式 19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210">
    <w:name w:val="样式 19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310">
    <w:name w:val="样式 19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410">
    <w:name w:val="样式 19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510">
    <w:name w:val="样式 19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610">
    <w:name w:val="样式 19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710">
    <w:name w:val="样式 19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810">
    <w:name w:val="样式 19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9910">
    <w:name w:val="样式 19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010">
    <w:name w:val="样式 20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110">
    <w:name w:val="样式 20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210">
    <w:name w:val="样式 20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310">
    <w:name w:val="样式 20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410">
    <w:name w:val="样式 20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510">
    <w:name w:val="样式 20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610">
    <w:name w:val="样式 20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710">
    <w:name w:val="样式 20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810">
    <w:name w:val="样式 20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0910">
    <w:name w:val="样式 20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10">
    <w:name w:val="样式 21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110">
    <w:name w:val="样式 21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210">
    <w:name w:val="样式 21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310">
    <w:name w:val="样式 21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410">
    <w:name w:val="样式 21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510">
    <w:name w:val="样式 21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610">
    <w:name w:val="样式 21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710">
    <w:name w:val="样式 21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810">
    <w:name w:val="样式 21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910">
    <w:name w:val="样式 21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010">
    <w:name w:val="样式 22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110">
    <w:name w:val="样式 22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210">
    <w:name w:val="样式 22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310">
    <w:name w:val="样式 22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410">
    <w:name w:val="样式 22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510">
    <w:name w:val="样式 22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610">
    <w:name w:val="样式 226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710">
    <w:name w:val="样式 22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810">
    <w:name w:val="样式 22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2910">
    <w:name w:val="样式 22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010">
    <w:name w:val="样式 23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110">
    <w:name w:val="样式 23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210">
    <w:name w:val="样式 23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310">
    <w:name w:val="样式 23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410">
    <w:name w:val="样式 23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510">
    <w:name w:val="样式 23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610">
    <w:name w:val="样式 23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710">
    <w:name w:val="样式 23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810">
    <w:name w:val="样式 23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3910">
    <w:name w:val="样式 23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010">
    <w:name w:val="样式 24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110">
    <w:name w:val="样式 24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210">
    <w:name w:val="样式 242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310">
    <w:name w:val="样式 243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410">
    <w:name w:val="样式 244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510">
    <w:name w:val="样式 245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610">
    <w:name w:val="样式 24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710">
    <w:name w:val="样式 247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810">
    <w:name w:val="样式 248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4910">
    <w:name w:val="样式 24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010">
    <w:name w:val="样式 25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110">
    <w:name w:val="样式 25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210">
    <w:name w:val="样式 252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310">
    <w:name w:val="样式 253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410">
    <w:name w:val="样式 254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510">
    <w:name w:val="样式 255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610">
    <w:name w:val="样式 25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710">
    <w:name w:val="样式 257 10 磅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aa">
    <w:name w:val="公式样式 数字"/>
    <w:autoRedefine/>
    <w:rPr>
      <w:rFonts w:eastAsia="宋体"/>
    </w:rPr>
  </w:style>
  <w:style w:type="paragraph" w:customStyle="1" w:styleId="25810">
    <w:name w:val="样式 258 10 磅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5910">
    <w:name w:val="样式 259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6010">
    <w:name w:val="样式 260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3007</Words>
  <Characters>17142</Characters>
  <Application>Microsoft Office Word</Application>
  <DocSecurity>0</DocSecurity>
  <Lines>142</Lines>
  <Paragraphs>40</Paragraphs>
  <ScaleCrop>false</ScaleCrop>
  <Company>Microsoft</Company>
  <LinksUpToDate>false</LinksUpToDate>
  <CharactersWithSpaces>20109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进口肉类境外生产企业注册条件及对照检查要点</dc:title>
  <dc:creator>lu Jiang</dc:creator>
  <cp:lastModifiedBy>admin</cp:lastModifiedBy>
  <cp:revision>4</cp:revision>
  <cp:lastPrinted>2021-10-14T13:54:00Z</cp:lastPrinted>
  <dcterms:created xsi:type="dcterms:W3CDTF">2024-11-25T08:53:00Z</dcterms:created>
  <dcterms:modified xsi:type="dcterms:W3CDTF">2024-11-26T08:22:00Z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242093579_cloud</vt:lpwstr>
  </property>
  <property fmtid="{D5CDD505-2E9C-101B-9397-08002B2CF9AE}" pid="4" name="ICV">
    <vt:lpwstr>E02030E0624A4148857CD9776E0C6528</vt:lpwstr>
  </property>
</Properties>
</file>