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CE" w:rsidRDefault="000D17CE" w:rsidP="00FC6FB4">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Condizioni di registrazione e punti chiave per il confronto e l'ispezione delle imprese di produzione estere di frutta secca importata</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0D17CE" w:rsidRDefault="000D17C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Secondo il "Regolamento della Repubblica popolare cinese sulla registrazione e la gestione delle imprese di produzione d'oltremare di alimenti importati" (Amministrazione generale dell'ordine doganale n. 248), le condizioni sanitarie delle imprese di produzione di frutta secca all'estero che richiedono la registrazione in Cina devono rispettare le disposizioni pertinenti delle leggi, dei regolamenti e degli standard cinesi, in linea con i requisiti del protocollo di ispezione e quarantena della frutta secca esportata in Cina. Questo modulo serve alle autorità competenti d'oltremare responsabili della frutta secca importata per condurre ispezioni ufficiali delle imprese produttrici di frutta secca sulla base delle condizioni e delle basi principali elencate e, allo stesso tempo, confrontare i punti di revisione che le imprese produttrici di frutta secca all'estero dovrebbero</w:t>
      </w:r>
      <w:bookmarkStart w:id="0" w:name="_GoBack"/>
      <w:bookmarkEnd w:id="0"/>
      <w:r>
        <w:rPr>
          <w:rFonts w:ascii="Times New Roman" w:eastAsia="方正仿宋_GBK" w:cs="Times New Roman"/>
          <w:color w:val="000000"/>
          <w:kern w:val="0"/>
          <w:sz w:val="24"/>
          <w:szCs w:val="24"/>
        </w:rPr>
        <w:t xml:space="preserve"> compilare; inserire e inviare materiali di supporto in base alle condizioni e basi principali elencate e confrontare e rivedere I punti </w:t>
      </w:r>
      <w:r>
        <w:rPr>
          <w:rFonts w:ascii="Times New Roman" w:eastAsia="方正仿宋_GBK" w:cs="Times New Roman"/>
          <w:color w:val="000000"/>
          <w:kern w:val="0"/>
          <w:sz w:val="24"/>
          <w:szCs w:val="24"/>
        </w:rPr>
        <w:lastRenderedPageBreak/>
        <w:t>chiave possono essere utilizzati anche per eseguire un autoesame e essere utilizzati per l'autovalutazione prima che le aziende richiedano la registrazione.</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 autorità competenti d'oltremare e le imprese di produzione di frutta secca d'oltremare dovrebbero effettuare determinazioni di conformità in modo veritiero sulla base della situazione reale delle ispezioni comparative.</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presentata una directory degli allegati dei materiali di certificazione.</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La "frutta secca" si riferisce ai prodotti a base di frutta secca ottenuti da frutta fresca e trattati attraverso processi di disidratazione come l'essiccazione e l'essiccazione al sole.</w:t>
      </w:r>
    </w:p>
    <w:p w:rsidR="000D17CE" w:rsidRDefault="000D17CE">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widowControl/>
        <w:spacing w:line="324" w:lineRule="atLeast"/>
        <w:jc w:val="center"/>
        <w:rPr>
          <w:rFonts w:ascii="Times New Roman" w:eastAsia="方正黑体_GBK" w:cs="Times New Roman"/>
          <w:color w:val="000000"/>
          <w:kern w:val="0"/>
          <w:sz w:val="24"/>
          <w:szCs w:val="24"/>
        </w:rPr>
      </w:pPr>
      <w:r>
        <w:rPr>
          <w:rFonts w:ascii="Times New Roman" w:eastAsia="宋体" w:cs="Times New Roman"/>
          <w:color w:val="000000"/>
          <w:kern w:val="0"/>
          <w:sz w:val="27"/>
          <w:szCs w:val="27"/>
        </w:rPr>
        <w:t> </w:t>
      </w:r>
    </w:p>
    <w:tbl>
      <w:tblPr>
        <w:tblW w:w="14188" w:type="dxa"/>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256"/>
        <w:gridCol w:w="2693"/>
        <w:gridCol w:w="2854"/>
        <w:gridCol w:w="3014"/>
        <w:gridCol w:w="1573"/>
        <w:gridCol w:w="1798"/>
      </w:tblGrid>
      <w:tr w:rsidR="000D17CE">
        <w:trPr>
          <w:trHeight w:val="39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progetto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Condizioni e basi</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Compilazione dei requisiti e dei materiali di supporto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Punti di revisione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Determinazione della conformità</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Osservazione</w:t>
            </w:r>
          </w:p>
        </w:tc>
      </w:tr>
      <w:tr w:rsidR="000D17CE">
        <w:trPr>
          <w:trHeight w:val="37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Situazione di base dell'impresa</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Situazione di base dell'impresa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Articoli 5, 6, 7 e 8 del "Regolamento della </w:t>
            </w:r>
            <w:r>
              <w:rPr>
                <w:rFonts w:ascii="Times New Roman" w:eastAsia="方正仿宋_GBK" w:cs="Times New Roman"/>
                <w:color w:val="000000"/>
                <w:kern w:val="0"/>
                <w:sz w:val="24"/>
                <w:szCs w:val="24"/>
              </w:rPr>
              <w:lastRenderedPageBreak/>
              <w:t>Repubblica popolare cinese sulla registrazione e la gestione delle imprese di produzione estera di prodotti alimentari importati" (Amministrazione generale dell'ordinanza doganale n.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Un protocollo sull'ispezione e la quarantena della frutta secca esportata in Cina firmato tra l'autorità competente del paese richiedente e l'Amministrazione generale delle dogane.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Compilare 1. Modulo informativo di base per le </w:t>
            </w:r>
            <w:r>
              <w:rPr>
                <w:rFonts w:ascii="Times New Roman" w:eastAsia="方正仿宋_GBK" w:cs="Times New Roman"/>
                <w:color w:val="000000"/>
                <w:kern w:val="0"/>
                <w:sz w:val="24"/>
                <w:szCs w:val="24"/>
              </w:rPr>
              <w:lastRenderedPageBreak/>
              <w:t xml:space="preserve">imprese di produzione estere di frutta secca importata. </w:t>
            </w:r>
            <w:r>
              <w:rPr>
                <w:rFonts w:ascii="Times New Roman" w:eastAsia="方正仿宋_GBK" w:cs="Times New Roman"/>
                <w:kern w:val="0"/>
                <w:sz w:val="24"/>
                <w:szCs w:val="24"/>
              </w:rPr>
              <w:t>1.1.2 Fornire informazioni sulla produzione e sul funzionamento per i 2 anni precedenti dalla data di revisione (se è stata fondata meno di 2 anni fa, fornire informazioni dalla fondazione dell'impresa), compresa la capacità produttiva, la produzione annua effettiva (statistiche per varietà ), volume delle esportazioni (se presente), varietà e statistiche nazionali), ecc.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Le imprese dovrebbero inserire le informazioni in </w:t>
            </w:r>
            <w:r>
              <w:rPr>
                <w:rFonts w:ascii="Times New Roman" w:eastAsia="方正仿宋_GBK" w:cs="Times New Roman"/>
                <w:color w:val="000000"/>
                <w:kern w:val="0"/>
                <w:sz w:val="24"/>
                <w:szCs w:val="24"/>
              </w:rPr>
              <w:lastRenderedPageBreak/>
              <w:t>modo veritiero e le informazioni di base dovrebbero essere coerenti con le informazioni presentate dalle autorità competenti del paese esportatore e con le effettive condizioni di produzione e trasformazione.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La frutta secca da esportare in Cina deve rispettare la definizione del prodotto stipulata negli accordi, protocolli, memorandum, ecc. pertinenti sull'ispezione e la quarantena della frutta secca esportata in Cina.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Sistema di gestione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Articoli 5, 6, 7 e 8 del "Regolamento della Repubblica popolare cinese sulla registrazione e la gestione delle imprese di produzione estera di prodotti alimentari importati" (Amministrazione generale dell'ordinanza doganale n. </w:t>
            </w:r>
            <w:r>
              <w:rPr>
                <w:rFonts w:ascii="Times New Roman" w:eastAsia="方正仿宋_GBK" w:cs="Times New Roman"/>
                <w:color w:val="000000"/>
                <w:kern w:val="0"/>
                <w:sz w:val="24"/>
                <w:szCs w:val="24"/>
              </w:rPr>
              <w:lastRenderedPageBreak/>
              <w:t>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Un protocollo sull'ispezione e la quarantena della frutta secca esportata in Cina firmato tra l'autorità competente del paese richiedente e l'Amministrazione generale delle dogane .</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Fornire documenti del sistema di gestione sulla prevenzione e il controllo della quarantena delle piante, gestione della sicurezza alimentare, gestione del personale, uso di prodotti chimici, accettazione delle materie prime, gestione del magazzino, ispezione </w:t>
            </w:r>
            <w:r>
              <w:rPr>
                <w:rFonts w:ascii="Times New Roman" w:eastAsia="方正仿宋_GBK" w:cs="Times New Roman"/>
                <w:color w:val="000000"/>
                <w:kern w:val="0"/>
                <w:sz w:val="24"/>
                <w:szCs w:val="24"/>
              </w:rPr>
              <w:lastRenderedPageBreak/>
              <w:t>dell'esportazione dei prodotti finiti, richiamo di prodotti non qualificati, gestione della tracciabilità, ecc.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 imprese dovrebbero stabilire documenti del sistema di gestione che coprano, ma non si limitino, alla prevenzione e al controllo fitosanitario, alla gestione della sicurezza alimentare, alla gestione del personale, all'uso di prodotti chimici, all'accettazione delle materie </w:t>
            </w:r>
            <w:r>
              <w:rPr>
                <w:rFonts w:ascii="Times New Roman" w:eastAsia="方正仿宋_GBK" w:cs="Times New Roman"/>
                <w:color w:val="000000"/>
                <w:kern w:val="0"/>
                <w:sz w:val="24"/>
                <w:szCs w:val="24"/>
              </w:rPr>
              <w:lastRenderedPageBreak/>
              <w:t>prime, alla gestione del magazzino, all'ispezione dell'esportazione dei prodotti finiti, al richiamo di prodotti non qualificati, alla gestione della tracciabilità, ecc. implementarli efficacemente.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Struttura dell'organizzazione gestionale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Un protocollo sull'ispezione e la quarantena della frutta secca esportata in Cina firmato tra l'autorità competente del paese richiedente e </w:t>
            </w:r>
            <w:r>
              <w:rPr>
                <w:rFonts w:ascii="Times New Roman" w:eastAsia="方正仿宋_GBK" w:cs="Times New Roman"/>
                <w:color w:val="000000"/>
                <w:kern w:val="0"/>
                <w:sz w:val="24"/>
                <w:szCs w:val="24"/>
              </w:rPr>
              <w:lastRenderedPageBreak/>
              <w:t>l'Amministrazione generale delle dogane.</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Fornire informazioni sull'organizzazione della gestione aziendale e sul personale dei dipartimenti o delle posizioni relative all'igiene degli impianti e alla gestione della sicurezza alimentare.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 imprese dovrebbero istituire dipartimenti o posizioni responsabili dell’igiene delle piante e della gestione della sicurezza alimentare e dotarli di manager con esperienze professionali legate all’igiene delle piante e alla sicurezza alimentare.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Ubicazione dell'azienda e disposizione dell'officina</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Scelta del sito e ambiente di fabbrica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in "Specifiche igieniche generali dello standard nazionale di sicurezza alimentare per la produzione alimentare"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Fornire una planimetria dell'area della fabbrica e indicare i nomi delle diverse aree operative.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Fornire immagini dell'ambiente in cui è ubicata la fabbrica. Le immagini dovrebbero indicare le informazioni sull'ambiente circostante (aree urbane, suburbane, industriali, agricole e residenziali) </w:t>
            </w:r>
            <w:r>
              <w:rPr>
                <w:rFonts w:ascii="Times New Roman" w:eastAsia="方正仿宋_GBK" w:cs="Times New Roman"/>
                <w:color w:val="000000"/>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 disposizione dell'area dello stabilimento soddisfa le esigenze di produzione e lavorazione.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Non sono presenti fonti di inquinamento attorno all'area dello stabilimento.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Disposizione dell'officina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in "Specifiche igieniche generali degli standard nazionali di sicurezza alimentare per la produzione alimentare"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Fornire una planimetria dell'officina, indicando il flusso delle persone, la logistica, il flusso dell'acqua, le procedure di lavorazione e le diverse aree di pulizia.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L'area e l'altezza dell'officina devono essere compatibili con la capacità produttiva e il posizionamento delle attrezzature, soddisfare il flusso di processo e i requisiti di sicurezza e salute dei prodotti trasformati ed evitare la contaminazione incrociata.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 porte e le finestre apribili del laboratorio e il passaggio che lo collega al mondo </w:t>
            </w:r>
            <w:r>
              <w:rPr>
                <w:rFonts w:ascii="Times New Roman" w:eastAsia="方正仿宋_GBK" w:cs="Times New Roman"/>
                <w:color w:val="000000"/>
                <w:kern w:val="0"/>
                <w:sz w:val="24"/>
                <w:szCs w:val="24"/>
              </w:rPr>
              <w:lastRenderedPageBreak/>
              <w:t>esterno devono essere dotati di dispositivi per impedire l'ingresso di insetti, ratti, uccelli, pipistrelli e altri animali volanti.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宋体" w:hint="eastAsia"/>
                <w:kern w:val="0"/>
                <w:sz w:val="24"/>
                <w:szCs w:val="24"/>
              </w:rPr>
              <w:t> </w:t>
            </w: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Strutture e attrezzature</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Attrezzature di produzione e lavorazione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in "Specifiche igieniche generali dello standard nazionale di sicurezza alimentare per la produzione alimentare"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Fornire un elenco delle principali attrezzature e strutture, nonché delle capacità di progettazione e lavorazione.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essere dotate di attrezzature di produzione commisurate alle capacità di produzione e lavorazione.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Strutture di magazzinaggio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in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"Standard nazionale di igiene alimentare per la sicurezza alimentare per la frutta secca" (GB16325)</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è presente un magazzino frigorifero, descrivere i requisiti di controllo della temperatura e i metodi di monitoraggio. (se applicabile)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strutture di stoccaggio sono asciutte e ventilate e possono soddisfare i requisiti di base per la conservazione del prodotto, la prevenzione degli insetti, il controllo della temperatura e dell'umidità.</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prodotti non devono essere conservati insieme ad articoli tossici, nocivi, maleodoranti, volatili o corrosivi.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4.Acqua/Ghiaccio/Vapore</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4.1 Acqua/vapore/ghiaccio per produzione e </w:t>
            </w:r>
            <w:r>
              <w:rPr>
                <w:rFonts w:ascii="Times New Roman" w:eastAsia="方正仿宋_GBK" w:cs="Times New Roman"/>
                <w:kern w:val="0"/>
                <w:sz w:val="24"/>
                <w:szCs w:val="24"/>
              </w:rPr>
              <w:lastRenderedPageBreak/>
              <w:t>lavorazione (se applicabile)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"Norme nazionali di sicurezza alimentare e norme igieniche per l'acqua </w:t>
            </w:r>
            <w:r>
              <w:rPr>
                <w:rFonts w:ascii="Times New Roman" w:eastAsia="方正仿宋_GBK" w:cs="Times New Roman"/>
                <w:kern w:val="0"/>
                <w:sz w:val="24"/>
                <w:szCs w:val="24"/>
              </w:rPr>
              <w:lastRenderedPageBreak/>
              <w:t>potabile" (GB 5749).</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5.1.1 in "Specifiche igieniche generali dello standard nazionale di sicurezza alimentare per la produzione alimentare"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Le imprese dovrebbero garantire che la qualit</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dell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acqua soddisfi i requisiti di </w:t>
            </w:r>
            <w:r>
              <w:rPr>
                <w:rFonts w:ascii="Times New Roman" w:eastAsia="方正仿宋_GBK" w:cs="Times New Roman" w:hint="eastAsia"/>
                <w:kern w:val="0"/>
                <w:sz w:val="24"/>
                <w:szCs w:val="24"/>
              </w:rPr>
              <w:lastRenderedPageBreak/>
              <w:t>produzione e lavorazione e dovrebbero fornire rapporti sui test dell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acqua di produzione e lavorazione come richiesto.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L'acqua di lavorazione degli alimenti e altre acque non a contatto con gli alimenti (come acqua di condensa indiretta, liquami o acque reflue) dovrebbero essere trasportate in condutture completamente separate per evitare la contaminazione incrociata.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Le imprese dovrebbero testare la qualit</w:t>
            </w:r>
            <w:r>
              <w:rPr>
                <w:rFonts w:ascii="Times New Roman" w:eastAsia="方正仿宋_GBK" w:cs="宋体" w:hint="eastAsia"/>
                <w:kern w:val="0"/>
                <w:sz w:val="24"/>
                <w:szCs w:val="24"/>
              </w:rPr>
              <w:t>à</w:t>
            </w:r>
            <w:r>
              <w:rPr>
                <w:rFonts w:ascii="Times New Roman" w:eastAsia="方正仿宋_GBK" w:cs="宋体" w:hint="eastAsia"/>
                <w:kern w:val="0"/>
                <w:sz w:val="24"/>
                <w:szCs w:val="24"/>
              </w:rPr>
              <w:t xml:space="preserve"> dell'acqua di </w:t>
            </w:r>
            <w:r>
              <w:rPr>
                <w:rFonts w:ascii="Times New Roman" w:eastAsia="方正仿宋_GBK" w:cs="宋体" w:hint="eastAsia"/>
                <w:kern w:val="0"/>
                <w:sz w:val="24"/>
                <w:szCs w:val="24"/>
              </w:rPr>
              <w:lastRenderedPageBreak/>
              <w:t>produzione (se utilizzata) per garantire che soddisfi i requisiti di sicurezza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rPr>
                <w:rFonts w:ascii="Times New Roman" w:eastAsia="方正仿宋_GBK" w:cs="Times New Roman"/>
                <w:kern w:val="0"/>
                <w:sz w:val="24"/>
                <w:szCs w:val="24"/>
              </w:rPr>
            </w:pPr>
          </w:p>
          <w:p w:rsidR="000D17CE" w:rsidRDefault="000D17CE">
            <w:pPr>
              <w:widowControl/>
              <w:spacing w:line="0" w:lineRule="atLeast"/>
              <w:ind w:firstLineChars="150" w:firstLine="360"/>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36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Materie prime e materiali di imballaggio</w:t>
            </w:r>
          </w:p>
        </w:tc>
      </w:tr>
      <w:tr w:rsidR="000D17CE">
        <w:trPr>
          <w:trHeight w:val="66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Accettazione e controllo delle materie prime e degli eccipienti</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1.7 in "Specifiche igieniche generali dello standard nazionale di sicurezza alimentare per la produzione alimentare"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 xml:space="preserve">"Standard nazionale di sicurezza alimentare per l'igiene alimentare della frutta secca" (GB16325)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Fornire misure di accettazione per materie prime e additivi, inclusi standard di accettazione e metodi di accettazione.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standard di accettazione per materie prime e additivi sono conformi alle normative e agli standard cinesi.</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 imprese dovrebbero ispezionare le condizioni fitosanitarie e di sicurezza alimentare delle materie prime prima di entrare nella fabbrica, o adottare le necessarie misure di controllo dei parassiti per garantire che le materie prime </w:t>
            </w:r>
            <w:r>
              <w:rPr>
                <w:rFonts w:ascii="Times New Roman" w:eastAsia="方正仿宋_GBK" w:cs="Times New Roman"/>
                <w:kern w:val="0"/>
                <w:sz w:val="24"/>
                <w:szCs w:val="24"/>
              </w:rPr>
              <w:lastRenderedPageBreak/>
              <w:t>soddisfino i requisiti di sicurezza della produzione, e stabilire registri di accettazione e di controllo dei parassiti, e conservare i registri per non meno di 2 anni.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delle materie prime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"Standard nazionale di sicurezza alimentare per l'igiene alimentare della frutta secca"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 nazionali di sicurezza alimentare per l'uso degli additivi alimentari" (GB 2760 )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"Limiti standard nazionali di sicurezza alimentare delle micotossine negli alimenti"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dei contaminanti negli alimenti"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5. "Limiti massimi di residui di pesticidi negli alimenti secondo gli standard nazionali di </w:t>
            </w:r>
            <w:r>
              <w:rPr>
                <w:rFonts w:ascii="Times New Roman" w:eastAsia="方正仿宋_GBK" w:cs="Times New Roman"/>
                <w:color w:val="000000"/>
                <w:kern w:val="0"/>
                <w:sz w:val="24"/>
                <w:szCs w:val="24"/>
              </w:rPr>
              <w:lastRenderedPageBreak/>
              <w:t>sicurezza alimentare" (GB 2763)</w:t>
            </w:r>
          </w:p>
          <w:p w:rsidR="000D17CE" w:rsidRDefault="000D17CE">
            <w:pPr>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Fornire l'ultimo rapporto di prova attestante che il prodotto è conforme agli standard nazionali di sicurezza alimentare della Cina. (se applicabile)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Fornire materiali per dimostrare che le materie prime prodotte dall'azienda dovrebbero provenire da aree in cui gli organismi nocivi da quarantena non rappresentano un problema per la Cina e che i fornitori di materie prime hanno qualifiche che soddisfano i requisiti locali.</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materie prime utilizzate devono essere conformi alle leggi e ai regolamenti cinesi, agli standard nazionali di sicurezza alimentare e ai relativi accordi, protocolli, memorandum e altri regolamenti sull'ispezione e la quarantena della frutta secca esportata in Cina.</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l'impresa ha stabilito la valutazione della conformità delle materie prime e implementato la gestione della tracciabilità delle materie prime acquistate in conformità con i requisiti del protocollo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Additivi alimentari (se applicabile)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"Norme nazionali di sicurezza alimentare per l'uso degli additivi alimentari" (GB 2760).</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Elenco degli additivi alimentari utilizzati nella produzione e nella lavorazione (inclusi nome, scopo, quantità aggiunta, ecc.).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additivi alimentari utilizzati nella produzione sono conformi alle normative cinesi sull'uso degli additivi alimentari.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Materiali di imballaggio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8.5 in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"Standard nazionale di sicurezza alimentare per l'igiene alimentare della frutta secca" (GB16325).</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3. "Principi generali degli standard nazionali di sicurezza alimentare per l'etichettatura degli alimenti preconfezionati" </w:t>
            </w:r>
            <w:r>
              <w:rPr>
                <w:rFonts w:ascii="Times New Roman" w:eastAsia="方正仿宋_GBK" w:cs="Times New Roman"/>
                <w:color w:val="000000"/>
                <w:kern w:val="0"/>
                <w:sz w:val="24"/>
                <w:szCs w:val="24"/>
              </w:rPr>
              <w:lastRenderedPageBreak/>
              <w:t>(GB7718).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Pertinenti accordi bilaterali di ispezione e quarantena, memorandum e protocolli.</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Fornire la prova che i materiali di imballaggio interno ed esterno sono adatti all'imballaggio del prodotto.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Fornire stili di etichetta per i prodotti finiti da esportare in Cina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materiali di imballaggio non influiscono sulla sicurezza alimentare e sulle caratteristiche del prodotto in specifiche condizioni di conservazione e utilizzo.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contrassegni sugli imballaggi devono essere conformi ai requisiti degli accordi bilaterali di ispezione e quarantena, memorandum e protocolli.</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lastRenderedPageBreak/>
              <w:t>6. Controllo della produzione e della lavorazione</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Istituzione e funzionamento del sistema HACCP</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"Requisiti generali per le imprese di produzione alimentare nell'ambito del sistema di analisi dei rischi e dei punti critici di controllo (HACCP)" (GB/T 27341).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t>6.1.1 Fornire il flusso del processo di produzione e lavorazione, indicare i punti critici di controllo (CCP) e le misure di controllo dei rischi adottate.</w:t>
            </w:r>
          </w:p>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6.1.2 Se viene adottato il sistema HACCP, fornire il foglio di lavoro per l'analisi dei pericoli e il piano HACCP, i registri di monitoraggio del CCP, i registri di correzione e i moduli campione di registrazione di verifica (se applicabile).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1. Il flusso del processo di produzione e lavorazione dell'impresa e i corrispondenti parametri principali del processo dovrebbero essere scientifici e standardizzati per garantire la sicurezza del prodotto, e misure speciali di controllo dei rischi o punti critici di controllo (CCP) dovrebbero essere stabiliti nei collegamenti chiave in cui esistono rischi per la sicurezza.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Controllo delle micotossine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"Limiti standard nazionali di sicurezza alimentare delle micotossine negli alimenti" (GB 2761 ).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6.2 Fornire rapporti di ispezione a campione </w:t>
            </w:r>
            <w:r>
              <w:rPr>
                <w:rFonts w:ascii="Times New Roman" w:eastAsia="方正仿宋_GBK" w:cs="Times New Roman"/>
                <w:color w:val="000000"/>
                <w:kern w:val="0"/>
                <w:sz w:val="24"/>
                <w:szCs w:val="24"/>
              </w:rPr>
              <w:t xml:space="preserve">indicanti che le micotossine </w:t>
            </w:r>
            <w:r>
              <w:rPr>
                <w:rFonts w:ascii="Times New Roman" w:eastAsia="方正仿宋_GBK" w:cs="Times New Roman"/>
                <w:kern w:val="0"/>
                <w:sz w:val="24"/>
                <w:szCs w:val="24"/>
              </w:rPr>
              <w:t xml:space="preserve">nei prodotti fabbricati, trasformati e immagazzinati sono conformi agli </w:t>
            </w:r>
            <w:r>
              <w:rPr>
                <w:rFonts w:ascii="Times New Roman" w:eastAsia="方正仿宋_GBK" w:cs="Times New Roman"/>
                <w:color w:val="000000"/>
                <w:kern w:val="0"/>
                <w:sz w:val="24"/>
                <w:szCs w:val="24"/>
              </w:rPr>
              <w:t xml:space="preserve">standard </w:t>
            </w:r>
            <w:r>
              <w:rPr>
                <w:rFonts w:ascii="Times New Roman" w:eastAsia="方正仿宋_GBK" w:cs="Times New Roman"/>
                <w:color w:val="000000"/>
                <w:kern w:val="0"/>
                <w:sz w:val="24"/>
                <w:szCs w:val="24"/>
              </w:rPr>
              <w:lastRenderedPageBreak/>
              <w:t>nazionali di sicurezza alimentare della Cina.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 xml:space="preserve">1. Se il </w:t>
            </w:r>
            <w:r>
              <w:rPr>
                <w:rFonts w:ascii="Times New Roman" w:eastAsia="方正仿宋_GBK" w:cs="Times New Roman"/>
                <w:color w:val="000000"/>
                <w:kern w:val="0"/>
                <w:sz w:val="24"/>
                <w:szCs w:val="24"/>
              </w:rPr>
              <w:t xml:space="preserve">sistema di controllo dell’impianto di trasformazione per le micotossine </w:t>
            </w:r>
            <w:r>
              <w:rPr>
                <w:rFonts w:ascii="Times New Roman" w:eastAsia="方正仿宋_GBK" w:cs="Times New Roman"/>
                <w:kern w:val="0"/>
                <w:sz w:val="24"/>
                <w:szCs w:val="24"/>
              </w:rPr>
              <w:t>nei prodotti dopo la produzione, lavorazione e stoccaggio è ragionevole.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2.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Uso di additivi alimentari e fortificanti nutrizionali (ove applicabile)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"Norme nazionali di sicurezza alimentare per l'uso degli additivi alimentari" (GB 2760).</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"Standard nazionale di sicurezza alimentare per l'uso di potenziatori nutrizionali degli alimenti" (GB14880).</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"Standard nazionale di sicurezza alimentare per l'igiene alimentare della frutta secca" (GB16325).</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6.3 Fornire un elenco degli additivi alimentari e dei supplementi nutrizionali utilizzati nella produzione e nella lavorazione (compresi nomi, usi, quantit</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aggiunte, ecc.).</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Pulizia e disinfezione</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7.1 Pulizia e </w:t>
            </w:r>
            <w:r>
              <w:rPr>
                <w:rFonts w:ascii="Times New Roman" w:eastAsia="方正仿宋_GBK" w:cs="Times New Roman"/>
                <w:kern w:val="0"/>
                <w:sz w:val="24"/>
                <w:szCs w:val="24"/>
              </w:rPr>
              <w:lastRenderedPageBreak/>
              <w:t>disinfezione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8.2.1 in "Specifiche </w:t>
            </w:r>
            <w:r>
              <w:rPr>
                <w:rFonts w:ascii="Times New Roman" w:eastAsia="方正仿宋_GBK" w:cs="Times New Roman"/>
                <w:color w:val="000000"/>
                <w:kern w:val="0"/>
                <w:sz w:val="24"/>
                <w:szCs w:val="24"/>
              </w:rPr>
              <w:lastRenderedPageBreak/>
              <w:t>igieniche generali degli standard nazionali di sicurezza alimentare per la produzione alimentare" (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7.1 Fornire misure di pulizia </w:t>
            </w:r>
            <w:r>
              <w:rPr>
                <w:rFonts w:ascii="Times New Roman" w:eastAsia="方正仿宋_GBK" w:cs="Times New Roman"/>
                <w:kern w:val="0"/>
                <w:sz w:val="24"/>
                <w:szCs w:val="24"/>
              </w:rPr>
              <w:lastRenderedPageBreak/>
              <w:t>e disinfezione, compresi metodi e frequenza di pulizia e disinfezione, e verifica degli effetti di pulizia e disinfezione.</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Le misure di pulizia e </w:t>
            </w:r>
            <w:r>
              <w:rPr>
                <w:rFonts w:ascii="Times New Roman" w:eastAsia="方正仿宋_GBK" w:cs="Times New Roman"/>
                <w:color w:val="000000"/>
                <w:kern w:val="0"/>
                <w:sz w:val="24"/>
                <w:szCs w:val="24"/>
              </w:rPr>
              <w:lastRenderedPageBreak/>
              <w:t>disinfezione dovrebbero essere in grado di eliminare la contaminazione incrociata e soddisfare i requisiti di igiene.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8. Controllo di prodotti chimici, rifiuti, parassiti e roditori</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Controllo chimico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8.3 in "Specifiche igieniche generali degli standard nazionali di sicurezza alimentare per la produzione alimentare" (GB14881-2013).</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Descrivere brevemente i requisiti di utilizzo e stoccaggio dei prodotti chimici.</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sistema di gestione delle sostanze chimiche è ragionevole e può prevenire efficacemente la contaminazione dei prodotti da parte delle sostanze chimiche utilizzate.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Gestione dell'inquinamento fisico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8.4 in "Specifiche igieniche generali degli standard nazionali di sicurezza alimentare per la produzione alimentare" (GB14881-2013).</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Fornire sistemi di gestione e relativi registri dei trattamenti per prevenire l'inquinamento fisico.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istituito un sistema di gestione per prevenire la contaminazione da corpi estranei, dovrebbero essere analizzate le possibili fonti e percorsi di inquinamento e dovrebbero essere formulati piani e procedure di controllo corrispondenti.</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Il rischio che gli alimenti vengano contaminati da corpi estranei come vetro, metallo, </w:t>
            </w:r>
            <w:r>
              <w:rPr>
                <w:rFonts w:ascii="Times New Roman" w:eastAsia="方正仿宋_GBK" w:cs="Times New Roman"/>
                <w:color w:val="000000"/>
                <w:kern w:val="0"/>
                <w:sz w:val="24"/>
                <w:szCs w:val="24"/>
              </w:rPr>
              <w:lastRenderedPageBreak/>
              <w:t>plastica, ecc. dovrebbe essere ridotto al minimo adottando misure quali la manutenzione delle attrezzature, la gestione dei servizi igienico-sanitari, la gestione in loco, la gestione del personale esterno e la supervisione della lavorazione processo.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Dovrebbero essere adottate misure efficaci come schermi, dispositivi di raccolta, magneti e rilevatori di metalli per ridurre il rischio di contaminazione degli alimenti da parte di metalli o altri corpi estranei.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Controllo dei parassiti e dei roditori</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in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Fornire metodi di controllo degli infestanti e piani di disposizione Se effettuato da terzi, fornire le qualifiche di terzi.</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Dovrebbe essere evitato l'impatto di zanzare, mosche e altri insetti nocivi e roditori sulla sicurezza e l'igiene della produzione.</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Gestione dei rifiuti</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6.5 in "Specifiche igieniche generali dello standard nazionale di sicurezza alimentare per la produzione alimentare" </w:t>
            </w:r>
            <w:r>
              <w:rPr>
                <w:rFonts w:ascii="Times New Roman" w:eastAsia="方正仿宋_GBK" w:cs="Times New Roman"/>
                <w:color w:val="000000"/>
                <w:kern w:val="0"/>
                <w:sz w:val="24"/>
                <w:szCs w:val="24"/>
              </w:rPr>
              <w:lastRenderedPageBreak/>
              <w:t>(GB14881).</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8.4 Fornire un sistema di gestione dei rifiuti e i relativi registri di trattamento.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I contenitori dei prodotti commestibili e i contenitori per lo stoccaggio dei rifiuti nell'officina devono essere chiaramente contrassegnati e </w:t>
            </w:r>
            <w:r>
              <w:rPr>
                <w:rFonts w:ascii="Times New Roman" w:eastAsia="方正仿宋_GBK" w:cs="Times New Roman"/>
                <w:color w:val="000000"/>
                <w:kern w:val="0"/>
                <w:sz w:val="24"/>
                <w:szCs w:val="24"/>
              </w:rPr>
              <w:lastRenderedPageBreak/>
              <w:t>distinti.</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I rifiuti dovrebbero essere immagazzinati separatamente e trattati in tempo per evitare l'inquinamento della produzione.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9. Tracciabilità del prodotto</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Tracciabilità e richiamo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1.11 in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Descrivere brevemente la procedura di tracciabilità del prodotto, prendendo come esempio il numero di lotto di un lotto di prodotti finiti per spiegare come risalire dal prodotto finito alla materia prima.</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Dovrebbero essere stabilite procedure di tracciabilità per ottenere la tracciabilità bidirezionale dell’intera catena delle materie prime, dei processi di produzione e trasformazione e dei prodotti finiti.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Gestione in entrata e in uscita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in "Specifiche igieniche generali dello standard nazionale di sicurezza alimentare per la produzione alimentare"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Fornire la gestione dell'entrata e dell'uscita del prodotto.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prodotti devono essere ispezionati prima di entrare nel magazzino e le registrazioni di accettazione, stoccaggio e uscita devono essere conservate per non meno di 2 anni.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10. Gestione e formazione del personale</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Gestione sanitaria ed igienica del personale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6.3 in "Specifiche igieniche generali dello standard nazionale di sicurezza alimentare per la </w:t>
            </w:r>
            <w:r>
              <w:rPr>
                <w:rFonts w:ascii="Times New Roman" w:eastAsia="方正仿宋_GBK" w:cs="Times New Roman"/>
                <w:color w:val="000000"/>
                <w:kern w:val="0"/>
                <w:sz w:val="24"/>
                <w:szCs w:val="24"/>
              </w:rPr>
              <w:lastRenderedPageBreak/>
              <w:t>produzione alimentare"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10.1 Fornire ai dipendenti i requisiti di gestione sanitaria pre-assunzione e di esame fisico dei dipendenti.</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Prima di assumere i dipendenti, questi devono sottoporsi ad un esame fisico e dimostrare di essere idonei a </w:t>
            </w:r>
            <w:r>
              <w:rPr>
                <w:rFonts w:ascii="Times New Roman" w:eastAsia="方正仿宋_GBK" w:cs="Times New Roman"/>
                <w:color w:val="000000"/>
                <w:kern w:val="0"/>
                <w:sz w:val="24"/>
                <w:szCs w:val="24"/>
              </w:rPr>
              <w:lastRenderedPageBreak/>
              <w:t>lavorare in un'impresa di trasformazione alimentare.</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dipendenti devono sottoporsi a regolari esami fisici e tenere registri.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10.2 Formazione del personale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in "Specifiche igieniche generali degli standard nazionali di sicurezza alimentare per la produzione alimentare" (GB14881).</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Fornire ai dipendenti piani di formazione annuali, contenuti, valutazioni e registrazioni.</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Il contenuto della formazione dovrebbe coprire il memorandum di ispezione e quarantena, accordi e protocolli di frutta secca esportata in Cina, regolamenti e standard cinesi, ecc.</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Requisiti gestionali</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in "Specifiche igieniche generali degli standard nazionali di sicurezza alimentare per la produzione alimentare" (GB14881).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Fornire al personale dirigente la documentazione relativa alla formazione sulle disposizioni pertinenti del paese/regione in cui si trovano i prodotti esportati e sulle leggi e i regolamenti cinesi sulla salute delle piante e sulla sicurezza alimentare, e condurre controlli a campione in loco e domande e risposte quando necessario.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capacità imprenditoriali del personale di produzione e di gestione dell'impresa dovrebbero essere adeguate ai requisiti lavorativi e dovrebbero avere familiarità con le disposizioni pertinenti delle leggi e dei regolamenti sulla salute delle piante e sulla sicurezza alimentare del paese/regione e della Cina, nonché i requisiti del protocollo sull'esportazione di frutta secca in Cina firmato da entrambe le parti e i requisiti di questa specifica.</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Avere le qualifiche e le </w:t>
            </w:r>
            <w:r>
              <w:rPr>
                <w:rFonts w:ascii="Times New Roman" w:eastAsia="方正仿宋_GBK" w:cs="Times New Roman"/>
                <w:color w:val="000000"/>
                <w:kern w:val="0"/>
                <w:sz w:val="24"/>
                <w:szCs w:val="24"/>
              </w:rPr>
              <w:lastRenderedPageBreak/>
              <w:t>capacità adatte al proprio lavoro.</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0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lastRenderedPageBreak/>
              <w:t>11. Autoesame e autocontrollo</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11.Ispezione del prodotto finito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in "Norme nazionali sulla sicurezza alimentare, specifiche igieniche generali per la produzione alimentare" (GB14881)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"Standard nazionale di sicurezza alimentare per l'igiene alimentare della frutta secca" (GB16325).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"Norme nazionali di sicurezza alimentare per l'uso degli additivi alimentari" (GB 2760)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delle micotossine negli alimenti" (GB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"Limiti standard nazionali di sicurezza alimentare dei contaminanti negli alimenti" (GB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 "Limiti massimi di residui di pesticidi negli alimenti secondo gli </w:t>
            </w:r>
            <w:r>
              <w:rPr>
                <w:rFonts w:ascii="Times New Roman" w:eastAsia="方正仿宋_GBK" w:cs="Times New Roman"/>
                <w:color w:val="000000"/>
                <w:kern w:val="0"/>
                <w:sz w:val="24"/>
                <w:szCs w:val="24"/>
              </w:rPr>
              <w:lastRenderedPageBreak/>
              <w:t xml:space="preserve">standard nazionali di sicurezza alimentare" (GB 2763)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Fornire elementi, indicatori, metodi e frequenza di ispezione del prodotto finito.</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un'impresa dispone di un proprio laboratorio, deve fornire prova delle proprie capacità e qualifiche di laboratorio; se l'impresa affida un laboratorio affidato a terzi, deve fornire le qualifiche di laboratorio affidate </w:t>
            </w:r>
            <w:r>
              <w:rPr>
                <w:rFonts w:ascii="Times New Roman" w:eastAsia="方正仿宋_GBK" w:cs="Times New Roman"/>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condurre test fitosanitari, di sicurezza alimentare e di altro tipo sui propri prodotti per garantire la conformità ai requisiti cinesi e conservare i registri dei test per non meno di 2 anni.</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imprese dovrebbero disporre di capacità di ispezione e analisi fitosanitaria e sulla sicurezza alimentare dei prodotti, o incaricare un istituto con qualifiche pertinenti di condurre ispezioni e analisi.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rPr>
              <w:lastRenderedPageBreak/>
              <w:t>12. Controllo dei parassiti</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Prevenzione e controllo degli organismi nocivi da quarantena che preoccupano la Cina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della frutta secca esportata in Cina.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L'impresa dovrà presentare alla Cina un elenco di organismi nocivi da quarantena rilevanti, nonché il proprio sistema di monitoraggio e i risultati del monitoraggio.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monitorare gli organismi nocivi da quarantena di cui la Cina è preoccupata e conservare i registri di monitoraggio per non meno di 2 anni.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Identificazione degli organismi nocivi</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della frutta secca esportata in Cina.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Le imprese devono presentare le registrazioni degli organismi nocivi riscontrati durante la produzione e lo stoccaggio e le registrazioni di identificazione da parte degli istituti professionali loro affidati.</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avere la capacità di identificare gli organismi nocivi rilevati durante la produzione e lo stoccaggio, o affidare a un'organizzazione professionale il compito di effettuare l'identificazione e stabilire registri di lavoro, che dovrebbero essere conservati per non meno di 2 anni.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Controllo dei parassiti</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della frutta secca esportata in Cina.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Le imprese presentano registrazioni delle misure di controllo dei parassiti implementate nelle aree di produzione e stoccaggio</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Le imprese dovrebbero attuare misure di controllo dei parassiti nelle aree di produzione e stoccaggio regolarmente o, quando necessario, le relative misure </w:t>
            </w:r>
            <w:r>
              <w:rPr>
                <w:rFonts w:ascii="Times New Roman" w:eastAsia="方正仿宋_GBK" w:cs="Times New Roman"/>
                <w:color w:val="000000"/>
                <w:kern w:val="0"/>
                <w:sz w:val="24"/>
                <w:szCs w:val="24"/>
              </w:rPr>
              <w:lastRenderedPageBreak/>
              <w:t>di controllo dovrebbero essere registrate e conservate per non meno di 2 anni.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12.4 Trattamento di fumigazione (se necessario)</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della frutta secca esportata in Cina.</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metodo di trattamento della fumigazione dovrebbe essere conforme ai requisiti cinesi e le istituzioni e il personale che implementano la fumigazione dovrebbero avere qualifiche o condizioni pertinenti.</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4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13. Dichiarazione</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Dichiarazione societaria</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avere la firma della persona giuridica e il sigillo della società.</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 Conferma da parte dell'autorità competente</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w:t>
            </w:r>
            <w:r>
              <w:rPr>
                <w:rFonts w:ascii="Times New Roman" w:eastAsia="方正仿宋_GBK" w:cs="Times New Roman"/>
                <w:color w:val="000000"/>
                <w:kern w:val="0"/>
                <w:sz w:val="24"/>
                <w:szCs w:val="24"/>
              </w:rPr>
              <w:lastRenderedPageBreak/>
              <w:t xml:space="preserve">prodotti alimentari importati" (Amministrazione generale dell'ordinanza doganale n. 248)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firmato dall'autorità competente e timbrato dall'autorità competente.</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D17CE" w:rsidRDefault="000D17CE">
      <w:pPr>
        <w:widowControl/>
        <w:spacing w:line="324" w:lineRule="atLeast"/>
        <w:jc w:val="left"/>
        <w:rPr>
          <w:rFonts w:ascii="Times New Roman" w:eastAsia="宋体" w:cs="Times New Roman"/>
          <w:color w:val="000000"/>
          <w:kern w:val="0"/>
          <w:sz w:val="27"/>
          <w:szCs w:val="27"/>
        </w:rPr>
      </w:pPr>
      <w:r>
        <w:rPr>
          <w:rFonts w:ascii="Times New Roman" w:eastAsia="宋体" w:cs="Times New Roman"/>
          <w:color w:val="000000"/>
          <w:kern w:val="0"/>
          <w:sz w:val="27"/>
          <w:szCs w:val="27"/>
        </w:rPr>
        <w:lastRenderedPageBreak/>
        <w:t> </w:t>
      </w:r>
    </w:p>
    <w:p w:rsidR="000D17CE" w:rsidRDefault="000D17CE">
      <w:pPr>
        <w:rPr>
          <w:rFonts w:ascii="Times New Roman" w:cs="Times New Roman"/>
        </w:rPr>
      </w:pPr>
    </w:p>
    <w:sectPr w:rsidR="000D17CE">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6E" w:rsidRDefault="0019646E" w:rsidP="003A49D3">
      <w:r>
        <w:separator/>
      </w:r>
    </w:p>
  </w:endnote>
  <w:endnote w:type="continuationSeparator" w:id="0">
    <w:p w:rsidR="0019646E" w:rsidRDefault="0019646E" w:rsidP="003A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D3" w:rsidRPr="003A49D3" w:rsidRDefault="003A49D3">
    <w:pPr>
      <w:pStyle w:val="a5"/>
      <w:rPr>
        <w:color w:val="808080" w:themeColor="background1" w:themeShade="80"/>
      </w:rPr>
    </w:pPr>
    <w:r w:rsidRPr="003A49D3">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6E" w:rsidRDefault="0019646E" w:rsidP="003A49D3">
      <w:r>
        <w:separator/>
      </w:r>
    </w:p>
  </w:footnote>
  <w:footnote w:type="continuationSeparator" w:id="0">
    <w:p w:rsidR="0019646E" w:rsidRDefault="0019646E" w:rsidP="003A4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B9A44D6"/>
    <w:lvl w:ilvl="0">
      <w:start w:val="1"/>
      <w:numFmt w:val="decimal"/>
      <w:lvlText w:val="%1."/>
      <w:lvlJc w:val="left"/>
      <w:pPr>
        <w:tabs>
          <w:tab w:val="num" w:pos="2040"/>
        </w:tabs>
        <w:ind w:left="2040" w:hanging="360"/>
      </w:pPr>
    </w:lvl>
  </w:abstractNum>
  <w:abstractNum w:abstractNumId="1">
    <w:nsid w:val="0FFFFF7D"/>
    <w:multiLevelType w:val="singleLevel"/>
    <w:tmpl w:val="549A1DA2"/>
    <w:lvl w:ilvl="0">
      <w:start w:val="1"/>
      <w:numFmt w:val="decimal"/>
      <w:lvlText w:val="%1."/>
      <w:lvlJc w:val="left"/>
      <w:pPr>
        <w:tabs>
          <w:tab w:val="num" w:pos="1620"/>
        </w:tabs>
        <w:ind w:left="1620" w:hanging="360"/>
      </w:pPr>
    </w:lvl>
  </w:abstractNum>
  <w:abstractNum w:abstractNumId="2">
    <w:nsid w:val="0FFFFF7E"/>
    <w:multiLevelType w:val="singleLevel"/>
    <w:tmpl w:val="2F5C2CC4"/>
    <w:lvl w:ilvl="0">
      <w:start w:val="1"/>
      <w:numFmt w:val="decimal"/>
      <w:lvlText w:val="%1."/>
      <w:lvlJc w:val="left"/>
      <w:pPr>
        <w:tabs>
          <w:tab w:val="num" w:pos="1200"/>
        </w:tabs>
        <w:ind w:left="1200" w:hanging="360"/>
      </w:pPr>
    </w:lvl>
  </w:abstractNum>
  <w:abstractNum w:abstractNumId="3">
    <w:nsid w:val="0FFFFF7F"/>
    <w:multiLevelType w:val="singleLevel"/>
    <w:tmpl w:val="CAA21E9E"/>
    <w:lvl w:ilvl="0">
      <w:start w:val="1"/>
      <w:numFmt w:val="decimal"/>
      <w:lvlText w:val="%1."/>
      <w:lvlJc w:val="left"/>
      <w:pPr>
        <w:tabs>
          <w:tab w:val="num" w:pos="780"/>
        </w:tabs>
        <w:ind w:left="780" w:hanging="360"/>
      </w:pPr>
    </w:lvl>
  </w:abstractNum>
  <w:abstractNum w:abstractNumId="4">
    <w:nsid w:val="0FFFFF80"/>
    <w:multiLevelType w:val="singleLevel"/>
    <w:tmpl w:val="1C20539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DA444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A50F64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8D26549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D25418"/>
    <w:lvl w:ilvl="0">
      <w:start w:val="1"/>
      <w:numFmt w:val="decimal"/>
      <w:lvlText w:val="%1."/>
      <w:lvlJc w:val="left"/>
      <w:pPr>
        <w:tabs>
          <w:tab w:val="num" w:pos="360"/>
        </w:tabs>
        <w:ind w:left="360" w:hanging="360"/>
      </w:pPr>
    </w:lvl>
  </w:abstractNum>
  <w:abstractNum w:abstractNumId="9">
    <w:nsid w:val="0FFFFF89"/>
    <w:multiLevelType w:val="singleLevel"/>
    <w:tmpl w:val="8A4616A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A3"/>
    <w:rsid w:val="000D17CE"/>
    <w:rsid w:val="0019646E"/>
    <w:rsid w:val="003A49D3"/>
    <w:rsid w:val="00480EA3"/>
    <w:rsid w:val="00ED1B0A"/>
    <w:rsid w:val="00FC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4133</Words>
  <Characters>23560</Characters>
  <Application>Microsoft Office Word</Application>
  <DocSecurity>0</DocSecurity>
  <Lines>196</Lines>
  <Paragraphs>55</Paragraphs>
  <ScaleCrop>false</ScaleCrop>
  <Company>Hewlett-Packard Company</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2024-11-21T12:08:00Z</dcterms:created>
  <dcterms:modified xsi:type="dcterms:W3CDTF">2024-11-21T12:49:00Z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