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0F" w:rsidRDefault="00FA7739">
      <w:pPr>
        <w:spacing w:afterLines="100" w:after="292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Elenco dei livelli di rischio e delle misure di supervisione e ispezione e quarantena per i prodotti animali non commestibili importati</w:t>
      </w:r>
    </w:p>
    <w:tbl>
      <w:tblPr>
        <w:tblW w:w="14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4863"/>
        <w:gridCol w:w="1457"/>
        <w:gridCol w:w="5942"/>
      </w:tblGrid>
      <w:tr w:rsidR="003B5D0F">
        <w:trPr>
          <w:tblHeader/>
          <w:jc w:val="center"/>
        </w:trPr>
        <w:tc>
          <w:tcPr>
            <w:tcW w:w="1752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categoria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prodotto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ind w:firstLineChars="50" w:firstLine="111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eastAsia="方正黑体简体"/>
                <w:b/>
                <w:sz w:val="24"/>
              </w:rPr>
              <w:t>livello di rischio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300" w:lineRule="exact"/>
              <w:ind w:firstLineChars="50" w:firstLine="121"/>
              <w:jc w:val="center"/>
              <w:rPr>
                <w:rFonts w:eastAsia="方正黑体简体"/>
                <w:b/>
                <w:spacing w:val="10"/>
                <w:sz w:val="24"/>
              </w:rPr>
            </w:pPr>
            <w:r>
              <w:rPr>
                <w:rFonts w:eastAsia="方正黑体简体"/>
                <w:b/>
                <w:spacing w:val="10"/>
                <w:sz w:val="24"/>
              </w:rPr>
              <w:t>Misure di ispezione e supervisione della quarantena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pelle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Pelli grezze (pelli fresche, essiccate, salate umide, salate, salate essiccate, esclusi anfibi e rettili)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dell'ispezione dell'ingresso dei certificati di quarantena e dell'attuazione dell'ispezione e della quarantena all'ingresso è necessario ottenere una "licenza di quarantena per animali e piante"; stoccaggio e stoccaggio in imprese designate dopo l'ingresso, trattati e soggetti a ispezione e supervisione della quarantena.</w:t>
            </w:r>
          </w:p>
        </w:tc>
      </w:tr>
      <w:tr w:rsidR="003B5D0F">
        <w:trPr>
          <w:trHeight w:val="1290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Pelli di anfibi e rettili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di ispezionare i certificati di ingresso e di implementare l'ispezione e la quarantena all'ingresso è necessario ottenere una "licenza di quarantena per animali e piante";</w:t>
            </w:r>
          </w:p>
        </w:tc>
      </w:tr>
      <w:tr w:rsidR="003B5D0F">
        <w:trPr>
          <w:trHeight w:val="503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300" w:lineRule="exact"/>
              <w:ind w:firstLineChars="164" w:firstLine="363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Pelli animali non conciate lavorate da pelli grigie (lavorate in un ambiente con un valore di pH non inferiore a 14 per almeno 2 ore), pelli piclate (lavorate in un ambiente con un valore di pH non superiore a 2 per almeno 1 ora) e altre metodi equivalenti </w:t>
            </w:r>
            <w:r>
              <w:rPr>
                <w:rFonts w:eastAsia="方正仿宋简体" w:hint="eastAsia"/>
                <w:sz w:val="24"/>
              </w:rPr>
              <w:t xml:space="preserve">; </w:t>
            </w:r>
            <w:r>
              <w:rPr>
                <w:rFonts w:eastAsia="方正仿宋简体"/>
                <w:sz w:val="24"/>
              </w:rPr>
              <w:t xml:space="preserve">concia Pelli animali ( nelle aree in cui </w:t>
            </w:r>
            <w:r>
              <w:rPr>
                <w:rFonts w:eastAsia="方正仿宋简体" w:hint="eastAsia"/>
                <w:sz w:val="24"/>
              </w:rPr>
              <w:t>sono prevalenti le malattie animali)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trasformazione e stoccaggio all'estero, ispezione dei certificati di quarantena all'ingresso e attuazione dell'ispezione e della quarantena.</w:t>
            </w:r>
          </w:p>
        </w:tc>
      </w:tr>
      <w:tr w:rsidR="003B5D0F">
        <w:trPr>
          <w:trHeight w:val="427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widowControl/>
              <w:spacing w:line="30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Pelli animali conciate (nessuna </w:t>
            </w:r>
            <w:r>
              <w:rPr>
                <w:rFonts w:eastAsia="方正仿宋简体" w:hint="eastAsia"/>
                <w:sz w:val="24"/>
              </w:rPr>
              <w:t xml:space="preserve">area endemica di </w:t>
            </w:r>
            <w:r>
              <w:rPr>
                <w:rFonts w:eastAsia="方正仿宋简体" w:hint="eastAsia"/>
                <w:sz w:val="24"/>
              </w:rPr>
              <w:lastRenderedPageBreak/>
              <w:t xml:space="preserve">malattie animali </w:t>
            </w:r>
            <w:r>
              <w:rPr>
                <w:rFonts w:eastAsia="方正仿宋简体"/>
                <w:sz w:val="24"/>
              </w:rPr>
              <w:t>rilevanti 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Lana e fibra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Lana grezza, piumino grezzo, piume e piumini non lavati, setole e code di animali non trattati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dell'ispezione dell'ingresso dei certificati di quarantena e dell'attuazione dell'ispezione e della quarantena all'ingresso è necessario ottenere una "licenza di quarantena per animali e piante"; stoccaggio e stoccaggio in imprese designate dopo l'ingresso, trattati e soggetti a ispezione e supervisione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Lavare la lana e il velluto, lavare le piume e il piumino, lavare i peli di cavallo e mucca (criniera) e coda, far bollire le setole di maiale e lavare i pelucchi di lana.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trasformazione e stoccaggio all'estero, ispezione dei certificati di quarantena all'ingresso e attuazione dell'ispezione 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Piume decorative scremate o tinte, piumini, lana carbonizzata, lana cardata, piumini in seta grezza;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angolo dello zoccolo osseo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Ossa, zoccoli e corna di ungulati, roditori e uccelli, non lavorati o principalmente lavorati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dell'ispezione dell'ingresso dei certificati di quarantena e dell'attuazione dell'ispezione e della quarantena all'ingresso è necessario ottenere una "licenza di quarantena per animali e piante" ; stoccaggio e stoccaggio in imprese designate dopo l'ingresso, trattati e soggetti a ispezione e supervisione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Denti di ippopotamo e altri denti di animali, sgrassati (lavorati a una temperatura non inferiore a 80°C per almeno 30 minuti), ossa, zoccoli, corna di animali (esclusi anfibi e rettili)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Valutazione del sistema normativo del paese o della regione esportatrice, registrazione delle imprese di produzione, lavorazione e stoccaggio all'estero; prima di ispezionare i certificati di ingresso e di implementare l'ispezione e la quarantena all'ingresso è necessario ottenere una "licenza di </w:t>
            </w:r>
            <w:r>
              <w:rPr>
                <w:rFonts w:eastAsia="方正仿宋简体"/>
                <w:sz w:val="24"/>
              </w:rPr>
              <w:lastRenderedPageBreak/>
              <w:t>quarantena per animali e piante";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Ossa di anfibi e rettili, conchiglie, corna, scaglie, olio di ossa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trasformazione e stoccaggio all'estero, ispezione dei certificati di quarantena all'ingresso e attuazione dell'ispezione e della quarantena.</w:t>
            </w:r>
          </w:p>
        </w:tc>
      </w:tr>
      <w:tr w:rsidR="003B5D0F">
        <w:trPr>
          <w:trHeight w:val="382"/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Ossa di animali fossili, zoccoli, corna e denti come denti di mammut; manufatti culturali realizzati con ossa di animali, zoccoli, corna e denti profondamente lavorati; ciotole per macinare, cucchiaini da tè, pettini, calzascarpe e altre corna di animali lavorate con corna di animali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grasso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Tessuto adiposo animale non trasformato (esclusi anfibi e rettili) e relativi oli spremuti a freddo, oli di ruminanti non raffinati ad alta temperatura provenienti da paesi o regioni con rischio BSE trascurabile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dell'ispezione dell'ingresso dei certificati di quarantena e dell'attuazione dell'ispezione e della quarantena all'ingresso è necessario ottenere una "licenza di quarantena per animali e piante"; stoccaggio e stoccaggio in imprese designate dopo l'ingresso, trattati e soggetti a ispezione e supervisione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Lanolina </w:t>
            </w:r>
            <w:r>
              <w:rPr>
                <w:rFonts w:eastAsia="方正仿宋简体" w:hint="eastAsia"/>
                <w:sz w:val="24"/>
              </w:rPr>
              <w:t xml:space="preserve">; </w:t>
            </w:r>
            <w:r>
              <w:rPr>
                <w:rFonts w:eastAsia="方正仿宋简体"/>
                <w:sz w:val="24"/>
              </w:rPr>
              <w:t xml:space="preserve">grassi animali raffinati ad alta temperatura (non inferiore a 80°C per almeno 30 minuti) </w:t>
            </w:r>
            <w:r>
              <w:rPr>
                <w:rFonts w:eastAsia="方正仿宋简体" w:hint="eastAsia"/>
                <w:sz w:val="24"/>
              </w:rPr>
              <w:t xml:space="preserve">( </w:t>
            </w:r>
            <w:r>
              <w:rPr>
                <w:rFonts w:eastAsia="方正仿宋简体"/>
                <w:sz w:val="24"/>
              </w:rPr>
              <w:t xml:space="preserve">ad eccezione dei grassi di ruminanti raffinati ad alta temperatura in paesi o regioni in cui i rischi di BSE sono trascurabili </w:t>
            </w:r>
            <w:r>
              <w:rPr>
                <w:rFonts w:eastAsia="方正仿宋简体" w:hint="eastAsia"/>
                <w:sz w:val="24"/>
              </w:rPr>
              <w:t xml:space="preserve">) </w:t>
            </w:r>
            <w:r>
              <w:rPr>
                <w:rFonts w:eastAsia="方正仿宋简体"/>
                <w:sz w:val="24"/>
              </w:rPr>
              <w:t>, grassi di anfibi e rettili.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trasformazione e stoccaggio all'estero, ispezione dei certificati di quarantena all'ingresso e attuazione dell'ispezione 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Oli e grassi di anfibi e rettili raffinati ad alta temperatura (non inferiore a 80°C per almeno 30 </w:t>
            </w:r>
            <w:r>
              <w:rPr>
                <w:rFonts w:eastAsia="方正仿宋简体"/>
                <w:sz w:val="24"/>
              </w:rPr>
              <w:lastRenderedPageBreak/>
              <w:t>minuti)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trHeight w:val="430"/>
          <w:jc w:val="center"/>
        </w:trPr>
        <w:tc>
          <w:tcPr>
            <w:tcW w:w="1752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tassidermia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Esemplari animali conservati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prodotti del baco da seta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Bozzoli di bachi da seta non lavorati, crisalidi di bachi da seta, bozzoli tagliati, spiedi lunghi, teste stagnanti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dell'ispezione dell'ingresso dei certificati di quarantena e dell'attuazione dell'ispezione e della quarantena all'ingresso è necessario ottenere una "licenza di quarantena per animali e piante"; stoccaggio e stoccaggio in imprese designate dopo l'ingresso, trattati e soggetti a ispezione e supervisione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Luomian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esportatrice; ispezione dei certificati di quarantena e attuazione dell'ispezione e della quarantena all'ingresso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seta grezza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prodotti delle api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Favo grezzo, cera d'api, propoli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di ispezionare i certificati di ingresso e di implementare l'ispezione e la quarantena all'ingresso è necessario ottenere una "licenza di quarantena per animali e piante";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tabs>
                <w:tab w:val="left" w:pos="675"/>
              </w:tabs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Altri prodotti delle api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esportatrice; ispezione dei certificati di quarantena e attuazione dell'ispezione e della quarantena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Prodotti acquatici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Prodotti acquatici non trasformati o trasformati primari e sottoprodotti di animali acquatici come gusci di gamberetti, gusci di granchio e gusci di vongole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Valutazione del sistema normativo del paese o della regione esportatrice, registrazione delle imprese di produzione, lavorazione e stoccaggio all'estero; prima di ispezionare i certificati di ingresso e di implementare l'ispezione e la </w:t>
            </w:r>
            <w:r>
              <w:rPr>
                <w:rFonts w:eastAsia="方正仿宋简体"/>
                <w:sz w:val="24"/>
              </w:rPr>
              <w:lastRenderedPageBreak/>
              <w:t>quarantena all'ingresso è necessario ottenere una "licenza di quarantena per animali e piante";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Pelle, ossa, scaglie e oli di pesce; ossa e oli di corpi molli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esportatrice; ispezione dei certificati di quarantena e attuazione dell'ispezione e della quarantena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Conchiglie lavorate, gusci di gamberetti, gusci di granchi e altri sottoprodotti di animali acquatici e relativi prodotti;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 w:val="restart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Altri prodotti animali non alimentari</w:t>
            </w:r>
          </w:p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Frattaglie, tessuti e succhi digestivi di animali non trasformati o principalmente trasformati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dell'ispezione dell'ingresso dei certificati di quarantena e dell'attuazione dell'ispezione e della quarantena all'ingresso è necessario ottenere una "licenza di quarantena per animali e piante"; stoccaggio e stoccaggio in imprese designate dopo l'ingresso, trattati e soggetti a ispezione e supervisione della quarantena.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Fertilizzanti di origine animale, colla ossea non derivata dalla BSE provenienti da paesi o regioni con rischio di BSE trascurabile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esportatrice, registrazione delle imprese di produzione, lavorazione e stoccaggio all'estero; prima di ispezionare i certificati di ingresso e di implementare l'ispezione e la quarantena all'ingresso è necessario ottenere una "licenza di quarantena per animali e piante";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Prodotti derivati dal latte altamente trasformati o raffinati come caseina, sottoprodotti di origine animale altamente trasformati o raffinati come condroitin solfato, fosfato di calcio bibasico e sali biliari e altra gelatina di derivazione animale (esclusi i paesi a rischio BSE non trascurabile) Oppure colla </w:t>
            </w:r>
            <w:r>
              <w:rPr>
                <w:rFonts w:eastAsia="方正仿宋简体"/>
                <w:sz w:val="24"/>
              </w:rPr>
              <w:lastRenderedPageBreak/>
              <w:t>regionale di ossa derivata da bovini e ovini)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Livello III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Valutazione del sistema normativo del paese o della regione esportatrice; ispezione dei certificati di quarantena e attuazione dell'ispezione e della quarantena all'ingresso.</w:t>
            </w:r>
          </w:p>
        </w:tc>
      </w:tr>
      <w:tr w:rsidR="003B5D0F">
        <w:trPr>
          <w:jc w:val="center"/>
        </w:trPr>
        <w:tc>
          <w:tcPr>
            <w:tcW w:w="1752" w:type="dxa"/>
            <w:vMerge/>
            <w:vAlign w:val="center"/>
          </w:tcPr>
          <w:p w:rsidR="003B5D0F" w:rsidRDefault="003B5D0F"/>
        </w:tc>
        <w:tc>
          <w:tcPr>
            <w:tcW w:w="4863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Tessuti e organi animali denaturati chimicamente per la ricerca scientifica; Gelatina industriale per la ricerca scientifica</w:t>
            </w:r>
          </w:p>
        </w:tc>
        <w:tc>
          <w:tcPr>
            <w:tcW w:w="1457" w:type="dxa"/>
            <w:vAlign w:val="center"/>
          </w:tcPr>
          <w:p w:rsidR="003B5D0F" w:rsidRDefault="00FA7739"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Livello IV</w:t>
            </w:r>
          </w:p>
        </w:tc>
        <w:tc>
          <w:tcPr>
            <w:tcW w:w="5942" w:type="dxa"/>
            <w:vAlign w:val="center"/>
          </w:tcPr>
          <w:p w:rsidR="003B5D0F" w:rsidRDefault="00FA7739">
            <w:pPr>
              <w:spacing w:line="280" w:lineRule="exact"/>
              <w:ind w:firstLineChars="164" w:firstLine="363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L'ispezione e la quarantena vengono attuate all'ingresso.</w:t>
            </w:r>
          </w:p>
        </w:tc>
      </w:tr>
    </w:tbl>
    <w:p w:rsidR="003B5D0F" w:rsidRDefault="003B5D0F">
      <w:pPr>
        <w:spacing w:line="480" w:lineRule="exact"/>
        <w:ind w:firstLineChars="100" w:firstLine="222"/>
        <w:rPr>
          <w:rFonts w:eastAsia="方正仿宋简体"/>
          <w:b/>
          <w:sz w:val="24"/>
        </w:rPr>
      </w:pPr>
    </w:p>
    <w:p w:rsidR="003B5D0F" w:rsidRDefault="00FA7739">
      <w:pPr>
        <w:spacing w:line="480" w:lineRule="exact"/>
        <w:ind w:firstLineChars="100" w:firstLine="222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Nota: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1. I prodotti con rischi di livello II o inferiore non sono soggetti a restrizioni epidemiche come l'afta epizootica e l'influenza aviaria, ma devono essere conformi ai requisiti sanitari veterinari come il codice OIE per le malattie animali pertinenti, inclusa l'afta epizootica; , influenza aviaria, dermatosi nodulare bovina, vaiolo ovino e caprino, peste suina africana e peste suina.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2. I paesi o le regioni con rischi trascurabili di BSE vengono valutati e determinati dall'Amministrazione generale delle dogane.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3. Definizione del prodotto pertinente: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Lo spargimento della lana si riferisce ai capelli spezzati e sciolti che vengono pettinati dopo che la lana grezza è stata trattata con alte temperature e acido, soprattutto dopo il processo di carbonizzazione e diserbo.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La filatura lunga si riferisce alla materia prima per la filatura della seta lavorata dalle fibre di seta disordinate rimosse dai bozzoli del baco da seta durante il processo di trattura.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Zhitou si riferisce alla materia prima per la filatura della seta, lavorata e selezionata dal rivestimento della pupa rimasta dopo che il bozzolo del baco da seta è stato avvolto.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 xml:space="preserve">Noil si riferisce alle fibre corte rimanenti dopo che le materie prime per la filatura della seta (fibre lunghe, fibre lag, ecc.) sono state raffinate e pettinate </w:t>
      </w:r>
      <w:r>
        <w:rPr>
          <w:rFonts w:eastAsia="方正仿宋简体"/>
          <w:sz w:val="24"/>
        </w:rPr>
        <w:lastRenderedPageBreak/>
        <w:t>circolarmente per estrarre le fibre lunghe.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Per seta grezza si intende il prodotto ottenuto dalla trattura dei bozzoli del baco da seta (bollitura della seta in acqua tiepida a 80°C, ecc.).</w:t>
      </w:r>
    </w:p>
    <w:p w:rsidR="003B5D0F" w:rsidRDefault="00FA7739">
      <w:pPr>
        <w:spacing w:line="480" w:lineRule="exact"/>
        <w:ind w:firstLineChars="100" w:firstLine="222"/>
        <w:rPr>
          <w:rFonts w:eastAsia="方正仿宋简体"/>
          <w:sz w:val="24"/>
        </w:rPr>
      </w:pPr>
      <w:r>
        <w:rPr>
          <w:rFonts w:eastAsia="方正仿宋简体"/>
          <w:sz w:val="24"/>
        </w:rPr>
        <w:t>4. Questo elenco serve come riferimento e per l'adeguamento dinamico durante l'approvazione dell'ingresso in quarantena e altri lavori.</w:t>
      </w:r>
    </w:p>
    <w:sectPr w:rsidR="003B5D0F">
      <w:headerReference w:type="default" r:id="rId7"/>
      <w:footerReference w:type="even" r:id="rId8"/>
      <w:footerReference w:type="default" r:id="rId9"/>
      <w:pgSz w:w="16838" w:h="11906" w:orient="landscape"/>
      <w:pgMar w:top="1644" w:right="1701" w:bottom="1644" w:left="170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03" w:rsidRDefault="00EB7703">
      <w:r>
        <w:separator/>
      </w:r>
    </w:p>
  </w:endnote>
  <w:endnote w:type="continuationSeparator" w:id="0">
    <w:p w:rsidR="00EB7703" w:rsidRDefault="00EB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永中楷体"/>
    <w:charset w:val="86"/>
    <w:family w:val="modern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F" w:rsidRDefault="00FA7739">
    <w:pPr>
      <w:pStyle w:val="a8"/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3B5D0F" w:rsidRDefault="00FA7739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:rsidR="003B5D0F" w:rsidRDefault="003B5D0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F" w:rsidRDefault="00FA7739">
    <w:pPr>
      <w:pStyle w:val="a8"/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fldChar w:fldCharType="separate"/>
    </w:r>
    <w:r w:rsidR="00661D5A">
      <w:rPr>
        <w:rStyle w:val="ac"/>
        <w:noProof/>
      </w:rPr>
      <w:t>7</w:t>
    </w:r>
    <w:r>
      <w:rPr>
        <w:rStyle w:val="ac"/>
      </w:rPr>
      <w:fldChar w:fldCharType="end"/>
    </w:r>
  </w:p>
  <w:p w:rsidR="003B5D0F" w:rsidRDefault="003B5D0F">
    <w:pPr>
      <w:pStyle w:val="a8"/>
      <w:framePr w:wrap="around" w:vAnchor="text" w:hAnchor="margin" w:xAlign="outside" w:y="1"/>
      <w:rPr>
        <w:rStyle w:val="ac"/>
        <w:rFonts w:ascii="宋体"/>
        <w:sz w:val="28"/>
        <w:szCs w:val="28"/>
      </w:rPr>
    </w:pPr>
  </w:p>
  <w:p w:rsidR="003B5D0F" w:rsidRDefault="003B5D0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03" w:rsidRDefault="00EB7703">
      <w:r>
        <w:separator/>
      </w:r>
    </w:p>
  </w:footnote>
  <w:footnote w:type="continuationSeparator" w:id="0">
    <w:p w:rsidR="00EB7703" w:rsidRDefault="00EB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783" w:rsidRPr="00661D5A" w:rsidRDefault="00661D5A" w:rsidP="00093783">
    <w:pPr>
      <w:jc w:val="right"/>
      <w:rPr>
        <w:color w:val="808080" w:themeColor="background1" w:themeShade="80"/>
        <w:sz w:val="18"/>
        <w:szCs w:val="18"/>
      </w:rPr>
    </w:pPr>
    <w:r w:rsidRPr="00661D5A">
      <w:rPr>
        <w:color w:val="808080" w:themeColor="background1" w:themeShade="80"/>
        <w:sz w:val="18"/>
        <w:szCs w:val="18"/>
      </w:rPr>
      <w:t>registr</w:t>
    </w:r>
    <w:r w:rsidRPr="00661D5A">
      <w:rPr>
        <w:rFonts w:hint="eastAsia"/>
        <w:color w:val="808080" w:themeColor="background1" w:themeShade="80"/>
        <w:sz w:val="18"/>
        <w:szCs w:val="18"/>
      </w:rPr>
      <w:t>y</w:t>
    </w:r>
    <w:r w:rsidR="00093783" w:rsidRPr="00661D5A">
      <w:rPr>
        <w:color w:val="808080" w:themeColor="background1" w:themeShade="80"/>
        <w:sz w:val="18"/>
        <w:szCs w:val="18"/>
      </w:rPr>
      <w:t xml:space="preserve">@foodgacc.com </w:t>
    </w:r>
    <w:r w:rsidRPr="00661D5A">
      <w:rPr>
        <w:rFonts w:hint="eastAsia"/>
        <w:color w:val="808080" w:themeColor="background1" w:themeShade="80"/>
        <w:sz w:val="18"/>
        <w:szCs w:val="18"/>
      </w:rPr>
      <w:t xml:space="preserve"> </w:t>
    </w:r>
    <w:r w:rsidR="00093783" w:rsidRPr="00661D5A">
      <w:rPr>
        <w:color w:val="808080" w:themeColor="background1" w:themeShade="80"/>
        <w:sz w:val="18"/>
        <w:szCs w:val="18"/>
      </w:rPr>
      <w:t>+86-18911244880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0"/>
  <w:drawingGridVerticalSpacing w:val="14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B5D0F"/>
    <w:rsid w:val="00093783"/>
    <w:rsid w:val="003B5D0F"/>
    <w:rsid w:val="00661D5A"/>
    <w:rsid w:val="00EB7703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ab">
    <w:name w:val="Strong"/>
    <w:basedOn w:val="a0"/>
    <w:rPr>
      <w:rFonts w:cs="Times New Roman"/>
      <w:b/>
    </w:rPr>
  </w:style>
  <w:style w:type="character" w:styleId="ac">
    <w:name w:val="page number"/>
    <w:basedOn w:val="a0"/>
    <w:rPr>
      <w:rFonts w:cs="Times New Roman"/>
    </w:rPr>
  </w:style>
  <w:style w:type="character" w:styleId="HTML0">
    <w:name w:val="HTML Typewriter"/>
    <w:basedOn w:val="a0"/>
    <w:rPr>
      <w:rFonts w:ascii="宋体" w:eastAsia="宋体" w:cs="Times New Roman"/>
      <w:sz w:val="1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annotation reference"/>
    <w:basedOn w:val="a0"/>
    <w:rPr>
      <w:rFonts w:cs="Times New Roman"/>
      <w:sz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af">
    <w:name w:val="三级条标题"/>
    <w:basedOn w:val="a"/>
    <w:next w:val="a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Date"/>
    <w:basedOn w:val="a"/>
    <w:next w:val="a"/>
    <w:pPr>
      <w:ind w:leftChars="2500" w:left="2500"/>
    </w:p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ab">
    <w:name w:val="Strong"/>
    <w:basedOn w:val="a0"/>
    <w:rPr>
      <w:rFonts w:cs="Times New Roman"/>
      <w:b/>
    </w:rPr>
  </w:style>
  <w:style w:type="character" w:styleId="ac">
    <w:name w:val="page number"/>
    <w:basedOn w:val="a0"/>
    <w:rPr>
      <w:rFonts w:cs="Times New Roman"/>
    </w:rPr>
  </w:style>
  <w:style w:type="character" w:styleId="HTML0">
    <w:name w:val="HTML Typewriter"/>
    <w:basedOn w:val="a0"/>
    <w:rPr>
      <w:rFonts w:ascii="宋体" w:eastAsia="宋体" w:cs="Times New Roman"/>
      <w:sz w:val="18"/>
    </w:rPr>
  </w:style>
  <w:style w:type="character" w:styleId="ad">
    <w:name w:val="Hyperlink"/>
    <w:basedOn w:val="a0"/>
    <w:rPr>
      <w:rFonts w:cs="Times New Roman"/>
      <w:color w:val="0000FF"/>
      <w:u w:val="single"/>
    </w:rPr>
  </w:style>
  <w:style w:type="character" w:styleId="ae">
    <w:name w:val="annotation reference"/>
    <w:basedOn w:val="a0"/>
    <w:rPr>
      <w:rFonts w:cs="Times New Roman"/>
      <w:sz w:val="21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</w:rPr>
  </w:style>
  <w:style w:type="paragraph" w:customStyle="1" w:styleId="Style12">
    <w:name w:val="_Style 12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af">
    <w:name w:val="三级条标题"/>
    <w:basedOn w:val="a"/>
    <w:next w:val="a"/>
    <w:pPr>
      <w:widowControl/>
      <w:outlineLvl w:val="4"/>
    </w:pPr>
    <w:rPr>
      <w:rFonts w:ascii="黑体" w:eastAsia="黑体"/>
      <w:kern w:val="0"/>
      <w:szCs w:val="20"/>
    </w:rPr>
  </w:style>
  <w:style w:type="paragraph" w:customStyle="1" w:styleId="af0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10">
    <w:name w:val="样式 10 磅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1847</Words>
  <Characters>10533</Characters>
  <Application>Microsoft Office Word</Application>
  <DocSecurity>0</DocSecurity>
  <Lines>87</Lines>
  <Paragraphs>24</Paragraphs>
  <ScaleCrop>false</ScaleCrop>
  <Company>Legend (Beijing) Limited</Company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wys/文印室/办公厅/aqsiq</dc:creator>
  <cp:lastModifiedBy>admin</cp:lastModifiedBy>
  <cp:revision>16</cp:revision>
  <cp:lastPrinted>2009-08-31T02:35:00Z</cp:lastPrinted>
  <dcterms:created xsi:type="dcterms:W3CDTF">2019-04-28T03:33:00Z</dcterms:created>
  <dcterms:modified xsi:type="dcterms:W3CDTF">2024-12-04T11:28:00Z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